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100"/>
        <w:jc w:val="center"/>
      </w:pPr>
      <w:r>
        <w:rPr>
          <w:rFonts w:ascii="Arial" w:cs="Arial" w:eastAsia="Arial" w:hAnsi="Arial"/>
          <w:b/>
          <w:bCs/>
          <w:caps/>
          <w:color w:val="666666"/>
          <w:sz w:val="24"/>
          <w:szCs w:val="24"/>
        </w:rPr>
        <w:t xml:space="preserve">INVESTMENT RESEARCH WHITE PAPER</w:t>
      </w:r>
    </w:p>
    <w:p>
      <w:pPr>
        <w:pBdr>
          <w:bottom w:val="single" w:color="1B365D" w:sz="12"/>
        </w:pBdr>
        <w:spacing w:after="400"/>
        <w:jc w:val="center"/>
      </w:pPr>
      <w:r>
        <w:rPr>
          <w:rFonts w:ascii="Arial" w:cs="Arial" w:eastAsia="Arial" w:hAnsi="Arial"/>
          <w:b/>
          <w:bCs/>
          <w:color w:val="1B365D"/>
          <w:sz w:val="56"/>
          <w:szCs w:val="56"/>
        </w:rPr>
        <w:t xml:space="preserve">AiRWA Inc. (NASDAQ: YYAI)</w:t>
      </w:r>
    </w:p>
    <w:p>
      <w:pPr>
        <w:spacing w:after="200"/>
        <w:jc w:val="center"/>
      </w:pPr>
      <w:r>
        <w:rPr>
          <w:rFonts w:ascii="Arial" w:cs="Arial" w:eastAsia="Arial" w:hAnsi="Arial"/>
          <w:b/>
          <w:bCs/>
          <w:color w:val="333333"/>
          <w:sz w:val="32"/>
          <w:szCs w:val="32"/>
        </w:rPr>
        <w:t xml:space="preserve">Deep Dive Analysis: The StablecoinX Connection</w:t>
      </w:r>
    </w:p>
    <w:p>
      <w:pPr>
        <w:spacing w:after="600"/>
        <w:jc w:val="center"/>
      </w:pPr>
      <w:r>
        <w:rPr>
          <w:rFonts w:ascii="Arial" w:cs="Arial" w:eastAsia="Arial" w:hAnsi="Arial"/>
          <w:i/>
          <w:iCs/>
          <w:color w:val="666666"/>
          <w:sz w:val="24"/>
          <w:szCs w:val="24"/>
        </w:rPr>
        <w:t xml:space="preserve">A Comprehensive Review of SEC Filings, Corporate Structure, and Catalyst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B365D" w:sz="2"/>
              <w:left w:val="single" w:color="1B365D" w:sz="2"/>
              <w:bottom w:val="single" w:color="1B365D" w:sz="2"/>
              <w:right w:val="none"/>
            </w:tcBorders>
            <w:shd w:fill="E8F4FC" w:val="clear"/>
            <w:tcMar>
              <w:top w:type="dxa" w:w="150"/>
              <w:left w:type="dxa" w:w="200"/>
              <w:bottom w:type="dxa" w:w="150"/>
              <w:right w:type="dxa" w:w="200"/>
            </w:tcMar>
          </w:tcPr>
          <w:p>
            <w:pPr>
              <w:spacing w:after="80"/>
            </w:pPr>
            <w:r>
              <w:rPr>
                <w:rFonts w:ascii="Arial" w:cs="Arial" w:eastAsia="Arial" w:hAnsi="Arial"/>
                <w:color w:val="666666"/>
                <w:sz w:val="20"/>
                <w:szCs w:val="20"/>
              </w:rPr>
              <w:t xml:space="preserve">Current Price:</w:t>
            </w:r>
          </w:p>
          <w:p>
            <w:pPr>
              <w:spacing w:after="150"/>
            </w:pPr>
            <w:r>
              <w:rPr>
                <w:rFonts w:ascii="Arial" w:cs="Arial" w:eastAsia="Arial" w:hAnsi="Arial"/>
                <w:b/>
                <w:bCs/>
                <w:color w:val="1B365D"/>
                <w:sz w:val="36"/>
                <w:szCs w:val="36"/>
              </w:rPr>
              <w:t xml:space="preserve">$1.08</w:t>
            </w:r>
          </w:p>
          <w:p>
            <w:pPr>
              <w:spacing w:after="80"/>
            </w:pPr>
            <w:r>
              <w:rPr>
                <w:rFonts w:ascii="Arial" w:cs="Arial" w:eastAsia="Arial" w:hAnsi="Arial"/>
                <w:color w:val="666666"/>
                <w:sz w:val="20"/>
                <w:szCs w:val="20"/>
              </w:rPr>
              <w:t xml:space="preserve">Cash Per Share:</w:t>
            </w:r>
          </w:p>
          <w:p>
            <w:r>
              <w:rPr>
                <w:rFonts w:ascii="Arial" w:cs="Arial" w:eastAsia="Arial" w:hAnsi="Arial"/>
                <w:b/>
                <w:bCs/>
                <w:color w:val="1B365D"/>
                <w:sz w:val="36"/>
                <w:szCs w:val="36"/>
              </w:rPr>
              <w:t xml:space="preserve">$3.47</w:t>
            </w:r>
          </w:p>
        </w:tc>
        <w:tc>
          <w:tcPr>
            <w:tcW w:type="dxa" w:w="4680"/>
            <w:tcBorders>
              <w:top w:val="single" w:color="1B365D" w:sz="2"/>
              <w:left w:val="none"/>
              <w:bottom w:val="single" w:color="1B365D" w:sz="2"/>
              <w:right w:val="single" w:color="1B365D" w:sz="2"/>
            </w:tcBorders>
            <w:shd w:fill="E8F4FC" w:val="clear"/>
            <w:tcMar>
              <w:top w:type="dxa" w:w="150"/>
              <w:left w:type="dxa" w:w="200"/>
              <w:bottom w:type="dxa" w:w="150"/>
              <w:right w:type="dxa" w:w="200"/>
            </w:tcMar>
          </w:tcPr>
          <w:p>
            <w:pPr>
              <w:spacing w:after="80"/>
            </w:pPr>
            <w:r>
              <w:rPr>
                <w:rFonts w:ascii="Arial" w:cs="Arial" w:eastAsia="Arial" w:hAnsi="Arial"/>
                <w:color w:val="666666"/>
                <w:sz w:val="20"/>
                <w:szCs w:val="20"/>
              </w:rPr>
              <w:t xml:space="preserve">Discount to Cash:</w:t>
            </w:r>
          </w:p>
          <w:p>
            <w:pPr>
              <w:spacing w:after="150"/>
            </w:pPr>
            <w:r>
              <w:rPr>
                <w:rFonts w:ascii="Arial" w:cs="Arial" w:eastAsia="Arial" w:hAnsi="Arial"/>
                <w:b/>
                <w:bCs/>
                <w:color w:val="CC0000"/>
                <w:sz w:val="36"/>
                <w:szCs w:val="36"/>
              </w:rPr>
              <w:t xml:space="preserve">68.9%</w:t>
            </w:r>
          </w:p>
          <w:p>
            <w:pPr>
              <w:spacing w:after="80"/>
            </w:pPr>
            <w:r>
              <w:rPr>
                <w:rFonts w:ascii="Arial" w:cs="Arial" w:eastAsia="Arial" w:hAnsi="Arial"/>
                <w:color w:val="666666"/>
                <w:sz w:val="20"/>
                <w:szCs w:val="20"/>
              </w:rPr>
              <w:t xml:space="preserve">Key Catalyst Date:</w:t>
            </w:r>
          </w:p>
          <w:p>
            <w:r>
              <w:rPr>
                <w:rFonts w:ascii="Arial" w:cs="Arial" w:eastAsia="Arial" w:hAnsi="Arial"/>
                <w:b/>
                <w:bCs/>
                <w:color w:val="1B365D"/>
                <w:sz w:val="36"/>
                <w:szCs w:val="36"/>
              </w:rPr>
              <w:t xml:space="preserve">March 10, 2026</w:t>
            </w:r>
          </w:p>
        </w:tc>
      </w:tr>
    </w:tbl>
    <w:p>
      <w:pPr>
        <w:spacing w:after="400"/>
      </w:pPr>
    </w:p>
    <w:p>
      <w:pPr>
        <w:spacing w:after="100"/>
        <w:jc w:val="center"/>
      </w:pPr>
      <w:r>
        <w:rPr>
          <w:rFonts w:ascii="Arial" w:cs="Arial" w:eastAsia="Arial" w:hAnsi="Arial"/>
          <w:color w:val="666666"/>
          <w:sz w:val="22"/>
          <w:szCs w:val="22"/>
        </w:rPr>
        <w:t xml:space="preserve">Report Date: February 18, 2026</w:t>
      </w:r>
    </w:p>
    <w:p>
      <w:pPr>
        <w:spacing w:after="400"/>
        <w:jc w:val="center"/>
      </w:pPr>
      <w:r>
        <w:rPr>
          <w:rFonts w:ascii="Arial" w:cs="Arial" w:eastAsia="Arial" w:hAnsi="Arial"/>
          <w:i/>
          <w:iCs/>
          <w:color w:val="666666"/>
          <w:sz w:val="20"/>
          <w:szCs w:val="20"/>
        </w:rPr>
        <w:t xml:space="preserve">Data Sources: SEC EDGAR, Company Filings, Public Records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both"/>
            </w:pPr>
            <w:r>
              <w:rPr>
                <w:rFonts w:ascii="Arial" w:cs="Arial" w:eastAsia="Arial" w:hAnsi="Arial"/>
                <w:b/>
                <w:bCs/>
                <w:color w:val="666666"/>
                <w:sz w:val="18"/>
                <w:szCs w:val="18"/>
              </w:rPr>
              <w:t xml:space="preserve">DISCLAIMER: </w:t>
            </w:r>
            <w:r>
              <w:rPr>
                <w:rFonts w:ascii="Arial" w:cs="Arial" w:eastAsia="Arial" w:hAnsi="Arial"/>
                <w:color w:val="666666"/>
                <w:sz w:val="18"/>
                <w:szCs w:val="18"/>
              </w:rPr>
              <w:t xml:space="preserve">This document is for informational purposes only and does not constitute investment advice, an offer to sell, or a solicitation of an offer to buy any securities. All information is derived from publicly available SEC filings and company disclosures. Past performance is not indicative of future results. Investors should conduct their own due diligence and consult with qualified financial advisors before making investment decisions.</w:t>
            </w:r>
          </w:p>
        </w:tc>
      </w:tr>
    </w:tbl>
    <w:p>
      <w:r>
        <w:br w:type="page"/>
      </w:r>
    </w:p>
    <w:p>
      <w:pPr>
        <w:pStyle w:val="Heading1"/>
        <w:spacing w:before="400" w:after="200"/>
      </w:pPr>
      <w:r>
        <w:rPr>
          <w:rFonts w:ascii="Arial" w:cs="Arial" w:eastAsia="Arial" w:hAnsi="Arial"/>
          <w:b/>
          <w:bCs/>
          <w:color w:val="1B365D"/>
          <w:sz w:val="32"/>
          <w:szCs w:val="32"/>
        </w:rPr>
        <w:t xml:space="preserve">Table of Contents</w:t>
      </w:r>
    </w:p>
    <w:p>
      <w:pPr>
        <w:spacing w:after="300"/>
      </w:pPr>
    </w:p>
    <w:p>
      <w:pPr>
        <w:tabs>
          <w:tab w:val="right" w:pos="9360" w:leader="dot"/>
        </w:tabs>
        <w:spacing w:after="80"/>
      </w:pPr>
      <w:r>
        <w:rPr>
          <w:rFonts w:ascii="Arial" w:cs="Arial" w:eastAsia="Arial" w:hAnsi="Arial"/>
          <w:b/>
          <w:bCs/>
          <w:color w:val="1B365D"/>
          <w:sz w:val="22"/>
          <w:szCs w:val="22"/>
        </w:rPr>
        <w:t xml:space="preserve">1. Executive Summary</w:t>
      </w:r>
      <w:r>
        <w:rPr>
          <w:rFonts w:ascii="Arial" w:cs="Arial" w:eastAsia="Arial" w:hAnsi="Arial"/>
          <w:sz w:val="22"/>
          <w:szCs w:val="22"/>
        </w:rPr>
        <w:t xml:space="preserve">	</w:t>
      </w:r>
      <w:r>
        <w:rPr>
          <w:rFonts w:ascii="Arial" w:cs="Arial" w:eastAsia="Arial" w:hAnsi="Arial"/>
          <w:color w:val="666666"/>
          <w:sz w:val="22"/>
          <w:szCs w:val="22"/>
        </w:rPr>
        <w:t xml:space="preserve">3</w:t>
      </w:r>
    </w:p>
    <w:p>
      <w:pPr>
        <w:tabs>
          <w:tab w:val="right" w:pos="9360" w:leader="dot"/>
        </w:tabs>
        <w:spacing w:after="80"/>
      </w:pPr>
      <w:r>
        <w:rPr>
          <w:rFonts w:ascii="Arial" w:cs="Arial" w:eastAsia="Arial" w:hAnsi="Arial"/>
          <w:b w:val="false"/>
          <w:bCs w:val="false"/>
          <w:color w:val="444444"/>
          <w:sz w:val="20"/>
          <w:szCs w:val="20"/>
        </w:rPr>
        <w:t xml:space="preserve">1.1 Key Findings</w:t>
      </w:r>
      <w:r>
        <w:rPr>
          <w:rFonts w:ascii="Arial" w:cs="Arial" w:eastAsia="Arial" w:hAnsi="Arial"/>
          <w:sz w:val="22"/>
          <w:szCs w:val="22"/>
        </w:rPr>
        <w:t xml:space="preserve">	</w:t>
      </w:r>
      <w:r>
        <w:rPr>
          <w:rFonts w:ascii="Arial" w:cs="Arial" w:eastAsia="Arial" w:hAnsi="Arial"/>
          <w:color w:val="666666"/>
          <w:sz w:val="20"/>
          <w:szCs w:val="20"/>
        </w:rPr>
        <w:t xml:space="preserve">3</w:t>
      </w:r>
    </w:p>
    <w:p>
      <w:pPr>
        <w:tabs>
          <w:tab w:val="right" w:pos="9360" w:leader="dot"/>
        </w:tabs>
        <w:spacing w:after="80"/>
      </w:pPr>
      <w:r>
        <w:rPr>
          <w:rFonts w:ascii="Arial" w:cs="Arial" w:eastAsia="Arial" w:hAnsi="Arial"/>
          <w:b w:val="false"/>
          <w:bCs w:val="false"/>
          <w:color w:val="444444"/>
          <w:sz w:val="20"/>
          <w:szCs w:val="20"/>
        </w:rPr>
        <w:t xml:space="preserve">1.2 Valuation Summary</w:t>
      </w:r>
      <w:r>
        <w:rPr>
          <w:rFonts w:ascii="Arial" w:cs="Arial" w:eastAsia="Arial" w:hAnsi="Arial"/>
          <w:sz w:val="22"/>
          <w:szCs w:val="22"/>
        </w:rPr>
        <w:t xml:space="preserve">	</w:t>
      </w:r>
      <w:r>
        <w:rPr>
          <w:rFonts w:ascii="Arial" w:cs="Arial" w:eastAsia="Arial" w:hAnsi="Arial"/>
          <w:color w:val="666666"/>
          <w:sz w:val="20"/>
          <w:szCs w:val="20"/>
        </w:rPr>
        <w:t xml:space="preserve">4</w:t>
      </w:r>
    </w:p>
    <w:p>
      <w:pPr>
        <w:tabs>
          <w:tab w:val="right" w:pos="9360" w:leader="dot"/>
        </w:tabs>
        <w:spacing w:after="80"/>
      </w:pPr>
      <w:r>
        <w:rPr>
          <w:rFonts w:ascii="Arial" w:cs="Arial" w:eastAsia="Arial" w:hAnsi="Arial"/>
          <w:b/>
          <w:bCs/>
          <w:color w:val="1B365D"/>
          <w:sz w:val="22"/>
          <w:szCs w:val="22"/>
        </w:rPr>
        <w:t xml:space="preserve">2. Company Overview</w:t>
      </w:r>
      <w:r>
        <w:rPr>
          <w:rFonts w:ascii="Arial" w:cs="Arial" w:eastAsia="Arial" w:hAnsi="Arial"/>
          <w:sz w:val="22"/>
          <w:szCs w:val="22"/>
        </w:rPr>
        <w:t xml:space="preserve">	</w:t>
      </w:r>
      <w:r>
        <w:rPr>
          <w:rFonts w:ascii="Arial" w:cs="Arial" w:eastAsia="Arial" w:hAnsi="Arial"/>
          <w:color w:val="666666"/>
          <w:sz w:val="22"/>
          <w:szCs w:val="22"/>
        </w:rPr>
        <w:t xml:space="preserve">5</w:t>
      </w:r>
    </w:p>
    <w:p>
      <w:pPr>
        <w:tabs>
          <w:tab w:val="right" w:pos="9360" w:leader="dot"/>
        </w:tabs>
        <w:spacing w:after="80"/>
      </w:pPr>
      <w:r>
        <w:rPr>
          <w:rFonts w:ascii="Arial" w:cs="Arial" w:eastAsia="Arial" w:hAnsi="Arial"/>
          <w:b w:val="false"/>
          <w:bCs w:val="false"/>
          <w:color w:val="444444"/>
          <w:sz w:val="20"/>
          <w:szCs w:val="20"/>
        </w:rPr>
        <w:t xml:space="preserve">2.1 Corporate Profile</w:t>
      </w:r>
      <w:r>
        <w:rPr>
          <w:rFonts w:ascii="Arial" w:cs="Arial" w:eastAsia="Arial" w:hAnsi="Arial"/>
          <w:sz w:val="22"/>
          <w:szCs w:val="22"/>
        </w:rPr>
        <w:t xml:space="preserve">	</w:t>
      </w:r>
      <w:r>
        <w:rPr>
          <w:rFonts w:ascii="Arial" w:cs="Arial" w:eastAsia="Arial" w:hAnsi="Arial"/>
          <w:color w:val="666666"/>
          <w:sz w:val="20"/>
          <w:szCs w:val="20"/>
        </w:rPr>
        <w:t xml:space="preserve">5</w:t>
      </w:r>
    </w:p>
    <w:p>
      <w:pPr>
        <w:tabs>
          <w:tab w:val="right" w:pos="9360" w:leader="dot"/>
        </w:tabs>
        <w:spacing w:after="80"/>
      </w:pPr>
      <w:r>
        <w:rPr>
          <w:rFonts w:ascii="Arial" w:cs="Arial" w:eastAsia="Arial" w:hAnsi="Arial"/>
          <w:b w:val="false"/>
          <w:bCs w:val="false"/>
          <w:color w:val="444444"/>
          <w:sz w:val="20"/>
          <w:szCs w:val="20"/>
        </w:rPr>
        <w:t xml:space="preserve">2.2 Executive Management</w:t>
      </w:r>
      <w:r>
        <w:rPr>
          <w:rFonts w:ascii="Arial" w:cs="Arial" w:eastAsia="Arial" w:hAnsi="Arial"/>
          <w:sz w:val="22"/>
          <w:szCs w:val="22"/>
        </w:rPr>
        <w:t xml:space="preserve">	</w:t>
      </w:r>
      <w:r>
        <w:rPr>
          <w:rFonts w:ascii="Arial" w:cs="Arial" w:eastAsia="Arial" w:hAnsi="Arial"/>
          <w:color w:val="666666"/>
          <w:sz w:val="20"/>
          <w:szCs w:val="20"/>
        </w:rPr>
        <w:t xml:space="preserve">5</w:t>
      </w:r>
    </w:p>
    <w:p>
      <w:pPr>
        <w:tabs>
          <w:tab w:val="right" w:pos="9360" w:leader="dot"/>
        </w:tabs>
        <w:spacing w:after="80"/>
      </w:pPr>
      <w:r>
        <w:rPr>
          <w:rFonts w:ascii="Arial" w:cs="Arial" w:eastAsia="Arial" w:hAnsi="Arial"/>
          <w:b w:val="false"/>
          <w:bCs w:val="false"/>
          <w:color w:val="444444"/>
          <w:sz w:val="20"/>
          <w:szCs w:val="20"/>
        </w:rPr>
        <w:t xml:space="preserve">2.3 Recent Corporate Developments</w:t>
      </w:r>
      <w:r>
        <w:rPr>
          <w:rFonts w:ascii="Arial" w:cs="Arial" w:eastAsia="Arial" w:hAnsi="Arial"/>
          <w:sz w:val="22"/>
          <w:szCs w:val="22"/>
        </w:rPr>
        <w:t xml:space="preserve">	</w:t>
      </w:r>
      <w:r>
        <w:rPr>
          <w:rFonts w:ascii="Arial" w:cs="Arial" w:eastAsia="Arial" w:hAnsi="Arial"/>
          <w:color w:val="666666"/>
          <w:sz w:val="20"/>
          <w:szCs w:val="20"/>
        </w:rPr>
        <w:t xml:space="preserve">6</w:t>
      </w:r>
    </w:p>
    <w:p>
      <w:pPr>
        <w:tabs>
          <w:tab w:val="right" w:pos="9360" w:leader="dot"/>
        </w:tabs>
        <w:spacing w:after="80"/>
      </w:pPr>
      <w:r>
        <w:rPr>
          <w:rFonts w:ascii="Arial" w:cs="Arial" w:eastAsia="Arial" w:hAnsi="Arial"/>
          <w:b/>
          <w:bCs/>
          <w:color w:val="1B365D"/>
          <w:sz w:val="22"/>
          <w:szCs w:val="22"/>
        </w:rPr>
        <w:t xml:space="preserve">3. Financial Position Analysis</w:t>
      </w:r>
      <w:r>
        <w:rPr>
          <w:rFonts w:ascii="Arial" w:cs="Arial" w:eastAsia="Arial" w:hAnsi="Arial"/>
          <w:sz w:val="22"/>
          <w:szCs w:val="22"/>
        </w:rPr>
        <w:t xml:space="preserve">	</w:t>
      </w:r>
      <w:r>
        <w:rPr>
          <w:rFonts w:ascii="Arial" w:cs="Arial" w:eastAsia="Arial" w:hAnsi="Arial"/>
          <w:color w:val="666666"/>
          <w:sz w:val="22"/>
          <w:szCs w:val="22"/>
        </w:rPr>
        <w:t xml:space="preserve">7</w:t>
      </w:r>
    </w:p>
    <w:p>
      <w:pPr>
        <w:tabs>
          <w:tab w:val="right" w:pos="9360" w:leader="dot"/>
        </w:tabs>
        <w:spacing w:after="80"/>
      </w:pPr>
      <w:r>
        <w:rPr>
          <w:rFonts w:ascii="Arial" w:cs="Arial" w:eastAsia="Arial" w:hAnsi="Arial"/>
          <w:b w:val="false"/>
          <w:bCs w:val="false"/>
          <w:color w:val="444444"/>
          <w:sz w:val="20"/>
          <w:szCs w:val="20"/>
        </w:rPr>
        <w:t xml:space="preserve">3.1 Balance Sheet Strength</w:t>
      </w:r>
      <w:r>
        <w:rPr>
          <w:rFonts w:ascii="Arial" w:cs="Arial" w:eastAsia="Arial" w:hAnsi="Arial"/>
          <w:sz w:val="22"/>
          <w:szCs w:val="22"/>
        </w:rPr>
        <w:t xml:space="preserve">	</w:t>
      </w:r>
      <w:r>
        <w:rPr>
          <w:rFonts w:ascii="Arial" w:cs="Arial" w:eastAsia="Arial" w:hAnsi="Arial"/>
          <w:color w:val="666666"/>
          <w:sz w:val="20"/>
          <w:szCs w:val="20"/>
        </w:rPr>
        <w:t xml:space="preserve">7</w:t>
      </w:r>
    </w:p>
    <w:p>
      <w:pPr>
        <w:tabs>
          <w:tab w:val="right" w:pos="9360" w:leader="dot"/>
        </w:tabs>
        <w:spacing w:after="80"/>
      </w:pPr>
      <w:r>
        <w:rPr>
          <w:rFonts w:ascii="Arial" w:cs="Arial" w:eastAsia="Arial" w:hAnsi="Arial"/>
          <w:b w:val="false"/>
          <w:bCs w:val="false"/>
          <w:color w:val="444444"/>
          <w:sz w:val="20"/>
          <w:szCs w:val="20"/>
        </w:rPr>
        <w:t xml:space="preserve">3.2 Capital Raises and Dilution</w:t>
      </w:r>
      <w:r>
        <w:rPr>
          <w:rFonts w:ascii="Arial" w:cs="Arial" w:eastAsia="Arial" w:hAnsi="Arial"/>
          <w:sz w:val="22"/>
          <w:szCs w:val="22"/>
        </w:rPr>
        <w:t xml:space="preserve">	</w:t>
      </w:r>
      <w:r>
        <w:rPr>
          <w:rFonts w:ascii="Arial" w:cs="Arial" w:eastAsia="Arial" w:hAnsi="Arial"/>
          <w:color w:val="666666"/>
          <w:sz w:val="20"/>
          <w:szCs w:val="20"/>
        </w:rPr>
        <w:t xml:space="preserve">7</w:t>
      </w:r>
    </w:p>
    <w:p>
      <w:pPr>
        <w:tabs>
          <w:tab w:val="right" w:pos="9360" w:leader="dot"/>
        </w:tabs>
        <w:spacing w:after="80"/>
      </w:pPr>
      <w:r>
        <w:rPr>
          <w:rFonts w:ascii="Arial" w:cs="Arial" w:eastAsia="Arial" w:hAnsi="Arial"/>
          <w:b w:val="false"/>
          <w:bCs w:val="false"/>
          <w:color w:val="444444"/>
          <w:sz w:val="20"/>
          <w:szCs w:val="20"/>
        </w:rPr>
        <w:t xml:space="preserve">3.3 Use of Proceeds</w:t>
      </w:r>
      <w:r>
        <w:rPr>
          <w:rFonts w:ascii="Arial" w:cs="Arial" w:eastAsia="Arial" w:hAnsi="Arial"/>
          <w:sz w:val="22"/>
          <w:szCs w:val="22"/>
        </w:rPr>
        <w:t xml:space="preserve">	</w:t>
      </w:r>
      <w:r>
        <w:rPr>
          <w:rFonts w:ascii="Arial" w:cs="Arial" w:eastAsia="Arial" w:hAnsi="Arial"/>
          <w:color w:val="666666"/>
          <w:sz w:val="20"/>
          <w:szCs w:val="20"/>
        </w:rPr>
        <w:t xml:space="preserve">8</w:t>
      </w:r>
    </w:p>
    <w:p>
      <w:pPr>
        <w:tabs>
          <w:tab w:val="right" w:pos="9360" w:leader="dot"/>
        </w:tabs>
        <w:spacing w:after="80"/>
      </w:pPr>
      <w:r>
        <w:rPr>
          <w:rFonts w:ascii="Arial" w:cs="Arial" w:eastAsia="Arial" w:hAnsi="Arial"/>
          <w:b/>
          <w:bCs/>
          <w:color w:val="1B365D"/>
          <w:sz w:val="22"/>
          <w:szCs w:val="22"/>
        </w:rPr>
        <w:t xml:space="preserve">4. The StablecoinX Connection</w:t>
      </w:r>
      <w:r>
        <w:rPr>
          <w:rFonts w:ascii="Arial" w:cs="Arial" w:eastAsia="Arial" w:hAnsi="Arial"/>
          <w:sz w:val="22"/>
          <w:szCs w:val="22"/>
        </w:rPr>
        <w:t xml:space="preserve">	</w:t>
      </w:r>
      <w:r>
        <w:rPr>
          <w:rFonts w:ascii="Arial" w:cs="Arial" w:eastAsia="Arial" w:hAnsi="Arial"/>
          <w:color w:val="666666"/>
          <w:sz w:val="22"/>
          <w:szCs w:val="22"/>
        </w:rPr>
        <w:t xml:space="preserve">9</w:t>
      </w:r>
    </w:p>
    <w:p>
      <w:pPr>
        <w:tabs>
          <w:tab w:val="right" w:pos="9360" w:leader="dot"/>
        </w:tabs>
        <w:spacing w:after="80"/>
      </w:pPr>
      <w:r>
        <w:rPr>
          <w:rFonts w:ascii="Arial" w:cs="Arial" w:eastAsia="Arial" w:hAnsi="Arial"/>
          <w:b w:val="false"/>
          <w:bCs w:val="false"/>
          <w:color w:val="444444"/>
          <w:sz w:val="20"/>
          <w:szCs w:val="20"/>
        </w:rPr>
        <w:t xml:space="preserve">4.1 SEC Filing Evidence</w:t>
      </w:r>
      <w:r>
        <w:rPr>
          <w:rFonts w:ascii="Arial" w:cs="Arial" w:eastAsia="Arial" w:hAnsi="Arial"/>
          <w:sz w:val="22"/>
          <w:szCs w:val="22"/>
        </w:rPr>
        <w:t xml:space="preserve">	</w:t>
      </w:r>
      <w:r>
        <w:rPr>
          <w:rFonts w:ascii="Arial" w:cs="Arial" w:eastAsia="Arial" w:hAnsi="Arial"/>
          <w:color w:val="666666"/>
          <w:sz w:val="20"/>
          <w:szCs w:val="20"/>
        </w:rPr>
        <w:t xml:space="preserve">9</w:t>
      </w:r>
    </w:p>
    <w:p>
      <w:pPr>
        <w:tabs>
          <w:tab w:val="right" w:pos="9360" w:leader="dot"/>
        </w:tabs>
        <w:spacing w:after="80"/>
      </w:pPr>
      <w:r>
        <w:rPr>
          <w:rFonts w:ascii="Arial" w:cs="Arial" w:eastAsia="Arial" w:hAnsi="Arial"/>
          <w:b w:val="false"/>
          <w:bCs w:val="false"/>
          <w:color w:val="444444"/>
          <w:sz w:val="20"/>
          <w:szCs w:val="20"/>
        </w:rPr>
        <w:t xml:space="preserve">4.2 StablecoinX Transaction Overview</w:t>
      </w:r>
      <w:r>
        <w:rPr>
          <w:rFonts w:ascii="Arial" w:cs="Arial" w:eastAsia="Arial" w:hAnsi="Arial"/>
          <w:sz w:val="22"/>
          <w:szCs w:val="22"/>
        </w:rPr>
        <w:t xml:space="preserve">	</w:t>
      </w:r>
      <w:r>
        <w:rPr>
          <w:rFonts w:ascii="Arial" w:cs="Arial" w:eastAsia="Arial" w:hAnsi="Arial"/>
          <w:color w:val="666666"/>
          <w:sz w:val="20"/>
          <w:szCs w:val="20"/>
        </w:rPr>
        <w:t xml:space="preserve">10</w:t>
      </w:r>
    </w:p>
    <w:p>
      <w:pPr>
        <w:tabs>
          <w:tab w:val="right" w:pos="9360" w:leader="dot"/>
        </w:tabs>
        <w:spacing w:after="80"/>
      </w:pPr>
      <w:r>
        <w:rPr>
          <w:rFonts w:ascii="Arial" w:cs="Arial" w:eastAsia="Arial" w:hAnsi="Arial"/>
          <w:b w:val="false"/>
          <w:bCs w:val="false"/>
          <w:color w:val="444444"/>
          <w:sz w:val="20"/>
          <w:szCs w:val="20"/>
        </w:rPr>
        <w:t xml:space="preserve">4.3 StablecoinX Board Composition</w:t>
      </w:r>
      <w:r>
        <w:rPr>
          <w:rFonts w:ascii="Arial" w:cs="Arial" w:eastAsia="Arial" w:hAnsi="Arial"/>
          <w:sz w:val="22"/>
          <w:szCs w:val="22"/>
        </w:rPr>
        <w:t xml:space="preserve">	</w:t>
      </w:r>
      <w:r>
        <w:rPr>
          <w:rFonts w:ascii="Arial" w:cs="Arial" w:eastAsia="Arial" w:hAnsi="Arial"/>
          <w:color w:val="666666"/>
          <w:sz w:val="20"/>
          <w:szCs w:val="20"/>
        </w:rPr>
        <w:t xml:space="preserve">10</w:t>
      </w:r>
    </w:p>
    <w:p>
      <w:pPr>
        <w:tabs>
          <w:tab w:val="right" w:pos="9360" w:leader="dot"/>
        </w:tabs>
        <w:spacing w:after="80"/>
      </w:pPr>
      <w:r>
        <w:rPr>
          <w:rFonts w:ascii="Arial" w:cs="Arial" w:eastAsia="Arial" w:hAnsi="Arial"/>
          <w:b w:val="false"/>
          <w:bCs w:val="false"/>
          <w:color w:val="444444"/>
          <w:sz w:val="20"/>
          <w:szCs w:val="20"/>
        </w:rPr>
        <w:t xml:space="preserve">4.4 StablecoinX PIPE Investor Base</w:t>
      </w:r>
      <w:r>
        <w:rPr>
          <w:rFonts w:ascii="Arial" w:cs="Arial" w:eastAsia="Arial" w:hAnsi="Arial"/>
          <w:sz w:val="22"/>
          <w:szCs w:val="22"/>
        </w:rPr>
        <w:t xml:space="preserve">	</w:t>
      </w:r>
      <w:r>
        <w:rPr>
          <w:rFonts w:ascii="Arial" w:cs="Arial" w:eastAsia="Arial" w:hAnsi="Arial"/>
          <w:color w:val="666666"/>
          <w:sz w:val="20"/>
          <w:szCs w:val="20"/>
        </w:rPr>
        <w:t xml:space="preserve">10</w:t>
      </w:r>
    </w:p>
    <w:p>
      <w:pPr>
        <w:tabs>
          <w:tab w:val="right" w:pos="9360" w:leader="dot"/>
        </w:tabs>
        <w:spacing w:after="80"/>
      </w:pPr>
      <w:r>
        <w:rPr>
          <w:rFonts w:ascii="Arial" w:cs="Arial" w:eastAsia="Arial" w:hAnsi="Arial"/>
          <w:b w:val="false"/>
          <w:bCs w:val="false"/>
          <w:color w:val="444444"/>
          <w:sz w:val="20"/>
          <w:szCs w:val="20"/>
        </w:rPr>
        <w:t xml:space="preserve">4.5 Ethena Protocol Background</w:t>
      </w:r>
      <w:r>
        <w:rPr>
          <w:rFonts w:ascii="Arial" w:cs="Arial" w:eastAsia="Arial" w:hAnsi="Arial"/>
          <w:sz w:val="22"/>
          <w:szCs w:val="22"/>
        </w:rPr>
        <w:t xml:space="preserve">	</w:t>
      </w:r>
      <w:r>
        <w:rPr>
          <w:rFonts w:ascii="Arial" w:cs="Arial" w:eastAsia="Arial" w:hAnsi="Arial"/>
          <w:color w:val="666666"/>
          <w:sz w:val="20"/>
          <w:szCs w:val="20"/>
        </w:rPr>
        <w:t xml:space="preserve">11</w:t>
      </w:r>
    </w:p>
    <w:p>
      <w:pPr>
        <w:tabs>
          <w:tab w:val="right" w:pos="9360" w:leader="dot"/>
        </w:tabs>
        <w:spacing w:after="80"/>
      </w:pPr>
      <w:r>
        <w:rPr>
          <w:rFonts w:ascii="Arial" w:cs="Arial" w:eastAsia="Arial" w:hAnsi="Arial"/>
          <w:b w:val="false"/>
          <w:bCs w:val="false"/>
          <w:color w:val="444444"/>
          <w:sz w:val="20"/>
          <w:szCs w:val="20"/>
        </w:rPr>
        <w:t xml:space="preserve">4.6 Token Purchase Agreement - Critical Details</w:t>
      </w:r>
      <w:r>
        <w:rPr>
          <w:rFonts w:ascii="Arial" w:cs="Arial" w:eastAsia="Arial" w:hAnsi="Arial"/>
          <w:sz w:val="22"/>
          <w:szCs w:val="22"/>
        </w:rPr>
        <w:t xml:space="preserve">	</w:t>
      </w:r>
      <w:r>
        <w:rPr>
          <w:rFonts w:ascii="Arial" w:cs="Arial" w:eastAsia="Arial" w:hAnsi="Arial"/>
          <w:color w:val="666666"/>
          <w:sz w:val="20"/>
          <w:szCs w:val="20"/>
        </w:rPr>
        <w:t xml:space="preserve">11</w:t>
      </w:r>
    </w:p>
    <w:p>
      <w:pPr>
        <w:tabs>
          <w:tab w:val="right" w:pos="9360" w:leader="dot"/>
        </w:tabs>
        <w:spacing w:after="80"/>
      </w:pPr>
      <w:r>
        <w:rPr>
          <w:rFonts w:ascii="Arial" w:cs="Arial" w:eastAsia="Arial" w:hAnsi="Arial"/>
          <w:b/>
          <w:bCs/>
          <w:color w:val="1B365D"/>
          <w:sz w:val="22"/>
          <w:szCs w:val="22"/>
        </w:rPr>
        <w:t xml:space="preserve">5. Ecosystem Integration Analysis</w:t>
      </w:r>
      <w:r>
        <w:rPr>
          <w:rFonts w:ascii="Arial" w:cs="Arial" w:eastAsia="Arial" w:hAnsi="Arial"/>
          <w:sz w:val="22"/>
          <w:szCs w:val="22"/>
        </w:rPr>
        <w:t xml:space="preserve">	</w:t>
      </w:r>
      <w:r>
        <w:rPr>
          <w:rFonts w:ascii="Arial" w:cs="Arial" w:eastAsia="Arial" w:hAnsi="Arial"/>
          <w:color w:val="666666"/>
          <w:sz w:val="22"/>
          <w:szCs w:val="22"/>
        </w:rPr>
        <w:t xml:space="preserve">14</w:t>
      </w:r>
    </w:p>
    <w:p>
      <w:pPr>
        <w:tabs>
          <w:tab w:val="right" w:pos="9360" w:leader="dot"/>
        </w:tabs>
        <w:spacing w:after="80"/>
      </w:pPr>
      <w:r>
        <w:rPr>
          <w:rFonts w:ascii="Arial" w:cs="Arial" w:eastAsia="Arial" w:hAnsi="Arial"/>
          <w:b w:val="false"/>
          <w:bCs w:val="false"/>
          <w:color w:val="444444"/>
          <w:sz w:val="20"/>
          <w:szCs w:val="20"/>
        </w:rPr>
        <w:t xml:space="preserve">5.1 Potential Integration Pathways</w:t>
      </w:r>
      <w:r>
        <w:rPr>
          <w:rFonts w:ascii="Arial" w:cs="Arial" w:eastAsia="Arial" w:hAnsi="Arial"/>
          <w:sz w:val="22"/>
          <w:szCs w:val="22"/>
        </w:rPr>
        <w:t xml:space="preserve">	</w:t>
      </w:r>
      <w:r>
        <w:rPr>
          <w:rFonts w:ascii="Arial" w:cs="Arial" w:eastAsia="Arial" w:hAnsi="Arial"/>
          <w:color w:val="666666"/>
          <w:sz w:val="20"/>
          <w:szCs w:val="20"/>
        </w:rPr>
        <w:t xml:space="preserve">14</w:t>
      </w:r>
    </w:p>
    <w:p>
      <w:pPr>
        <w:tabs>
          <w:tab w:val="right" w:pos="9360" w:leader="dot"/>
        </w:tabs>
        <w:spacing w:after="80"/>
      </w:pPr>
      <w:r>
        <w:rPr>
          <w:rFonts w:ascii="Arial" w:cs="Arial" w:eastAsia="Arial" w:hAnsi="Arial"/>
          <w:b w:val="false"/>
          <w:bCs w:val="false"/>
          <w:color w:val="444444"/>
          <w:sz w:val="20"/>
          <w:szCs w:val="20"/>
        </w:rPr>
        <w:t xml:space="preserve">5.2 Important Caveats</w:t>
      </w:r>
      <w:r>
        <w:rPr>
          <w:rFonts w:ascii="Arial" w:cs="Arial" w:eastAsia="Arial" w:hAnsi="Arial"/>
          <w:sz w:val="22"/>
          <w:szCs w:val="22"/>
        </w:rPr>
        <w:t xml:space="preserve">	</w:t>
      </w:r>
      <w:r>
        <w:rPr>
          <w:rFonts w:ascii="Arial" w:cs="Arial" w:eastAsia="Arial" w:hAnsi="Arial"/>
          <w:color w:val="666666"/>
          <w:sz w:val="20"/>
          <w:szCs w:val="20"/>
        </w:rPr>
        <w:t xml:space="preserve">15</w:t>
      </w:r>
    </w:p>
    <w:p>
      <w:pPr>
        <w:tabs>
          <w:tab w:val="right" w:pos="9360" w:leader="dot"/>
        </w:tabs>
        <w:spacing w:after="80"/>
      </w:pPr>
      <w:r>
        <w:rPr>
          <w:rFonts w:ascii="Arial" w:cs="Arial" w:eastAsia="Arial" w:hAnsi="Arial"/>
          <w:b/>
          <w:bCs/>
          <w:color w:val="1B365D"/>
          <w:sz w:val="22"/>
          <w:szCs w:val="22"/>
        </w:rPr>
        <w:t xml:space="preserve">6. Ownership Structure Analysis</w:t>
      </w:r>
      <w:r>
        <w:rPr>
          <w:rFonts w:ascii="Arial" w:cs="Arial" w:eastAsia="Arial" w:hAnsi="Arial"/>
          <w:sz w:val="22"/>
          <w:szCs w:val="22"/>
        </w:rPr>
        <w:t xml:space="preserve">	</w:t>
      </w:r>
      <w:r>
        <w:rPr>
          <w:rFonts w:ascii="Arial" w:cs="Arial" w:eastAsia="Arial" w:hAnsi="Arial"/>
          <w:color w:val="666666"/>
          <w:sz w:val="22"/>
          <w:szCs w:val="22"/>
        </w:rPr>
        <w:t xml:space="preserve">16</w:t>
      </w:r>
    </w:p>
    <w:p>
      <w:pPr>
        <w:tabs>
          <w:tab w:val="right" w:pos="9360" w:leader="dot"/>
        </w:tabs>
        <w:spacing w:after="80"/>
      </w:pPr>
      <w:r>
        <w:rPr>
          <w:rFonts w:ascii="Arial" w:cs="Arial" w:eastAsia="Arial" w:hAnsi="Arial"/>
          <w:b w:val="false"/>
          <w:bCs w:val="false"/>
          <w:color w:val="444444"/>
          <w:sz w:val="20"/>
          <w:szCs w:val="20"/>
        </w:rPr>
        <w:t xml:space="preserve">6.1 December 2025 Share Placement</w:t>
      </w:r>
      <w:r>
        <w:rPr>
          <w:rFonts w:ascii="Arial" w:cs="Arial" w:eastAsia="Arial" w:hAnsi="Arial"/>
          <w:sz w:val="22"/>
          <w:szCs w:val="22"/>
        </w:rPr>
        <w:t xml:space="preserve">	</w:t>
      </w:r>
      <w:r>
        <w:rPr>
          <w:rFonts w:ascii="Arial" w:cs="Arial" w:eastAsia="Arial" w:hAnsi="Arial"/>
          <w:color w:val="666666"/>
          <w:sz w:val="20"/>
          <w:szCs w:val="20"/>
        </w:rPr>
        <w:t xml:space="preserve">16</w:t>
      </w:r>
    </w:p>
    <w:p>
      <w:pPr>
        <w:tabs>
          <w:tab w:val="right" w:pos="9360" w:leader="dot"/>
        </w:tabs>
        <w:spacing w:after="80"/>
      </w:pPr>
      <w:r>
        <w:rPr>
          <w:rFonts w:ascii="Arial" w:cs="Arial" w:eastAsia="Arial" w:hAnsi="Arial"/>
          <w:b w:val="false"/>
          <w:bCs w:val="false"/>
          <w:color w:val="444444"/>
          <w:sz w:val="20"/>
          <w:szCs w:val="20"/>
        </w:rPr>
        <w:t xml:space="preserve">6.2 Chairman Zhou Ownership</w:t>
      </w:r>
      <w:r>
        <w:rPr>
          <w:rFonts w:ascii="Arial" w:cs="Arial" w:eastAsia="Arial" w:hAnsi="Arial"/>
          <w:sz w:val="22"/>
          <w:szCs w:val="22"/>
        </w:rPr>
        <w:t xml:space="preserve">	</w:t>
      </w:r>
      <w:r>
        <w:rPr>
          <w:rFonts w:ascii="Arial" w:cs="Arial" w:eastAsia="Arial" w:hAnsi="Arial"/>
          <w:color w:val="666666"/>
          <w:sz w:val="20"/>
          <w:szCs w:val="20"/>
        </w:rPr>
        <w:t xml:space="preserve">17</w:t>
      </w:r>
    </w:p>
    <w:p>
      <w:pPr>
        <w:tabs>
          <w:tab w:val="right" w:pos="9360" w:leader="dot"/>
        </w:tabs>
        <w:spacing w:after="80"/>
      </w:pPr>
      <w:r>
        <w:rPr>
          <w:rFonts w:ascii="Arial" w:cs="Arial" w:eastAsia="Arial" w:hAnsi="Arial"/>
          <w:b w:val="false"/>
          <w:bCs w:val="false"/>
          <w:color w:val="444444"/>
          <w:sz w:val="20"/>
          <w:szCs w:val="20"/>
        </w:rPr>
        <w:t xml:space="preserve">6.3 Current Ownership Distribution</w:t>
      </w:r>
      <w:r>
        <w:rPr>
          <w:rFonts w:ascii="Arial" w:cs="Arial" w:eastAsia="Arial" w:hAnsi="Arial"/>
          <w:sz w:val="22"/>
          <w:szCs w:val="22"/>
        </w:rPr>
        <w:t xml:space="preserve">	</w:t>
      </w:r>
      <w:r>
        <w:rPr>
          <w:rFonts w:ascii="Arial" w:cs="Arial" w:eastAsia="Arial" w:hAnsi="Arial"/>
          <w:color w:val="666666"/>
          <w:sz w:val="20"/>
          <w:szCs w:val="20"/>
        </w:rPr>
        <w:t xml:space="preserve">17</w:t>
      </w:r>
    </w:p>
    <w:p>
      <w:pPr>
        <w:tabs>
          <w:tab w:val="right" w:pos="9360" w:leader="dot"/>
        </w:tabs>
        <w:spacing w:after="80"/>
      </w:pPr>
      <w:r>
        <w:rPr>
          <w:rFonts w:ascii="Arial" w:cs="Arial" w:eastAsia="Arial" w:hAnsi="Arial"/>
          <w:b/>
          <w:bCs/>
          <w:color w:val="1B365D"/>
          <w:sz w:val="22"/>
          <w:szCs w:val="22"/>
        </w:rPr>
        <w:t xml:space="preserve">7. Valuation Analysis</w:t>
      </w:r>
      <w:r>
        <w:rPr>
          <w:rFonts w:ascii="Arial" w:cs="Arial" w:eastAsia="Arial" w:hAnsi="Arial"/>
          <w:sz w:val="22"/>
          <w:szCs w:val="22"/>
        </w:rPr>
        <w:t xml:space="preserve">	</w:t>
      </w:r>
      <w:r>
        <w:rPr>
          <w:rFonts w:ascii="Arial" w:cs="Arial" w:eastAsia="Arial" w:hAnsi="Arial"/>
          <w:color w:val="666666"/>
          <w:sz w:val="22"/>
          <w:szCs w:val="22"/>
        </w:rPr>
        <w:t xml:space="preserve">18</w:t>
      </w:r>
    </w:p>
    <w:p>
      <w:pPr>
        <w:tabs>
          <w:tab w:val="right" w:pos="9360" w:leader="dot"/>
        </w:tabs>
        <w:spacing w:after="80"/>
      </w:pPr>
      <w:r>
        <w:rPr>
          <w:rFonts w:ascii="Arial" w:cs="Arial" w:eastAsia="Arial" w:hAnsi="Arial"/>
          <w:b w:val="false"/>
          <w:bCs w:val="false"/>
          <w:color w:val="444444"/>
          <w:sz w:val="20"/>
          <w:szCs w:val="20"/>
        </w:rPr>
        <w:t xml:space="preserve">7.1 Sum-of-Parts Valuation</w:t>
      </w:r>
      <w:r>
        <w:rPr>
          <w:rFonts w:ascii="Arial" w:cs="Arial" w:eastAsia="Arial" w:hAnsi="Arial"/>
          <w:sz w:val="22"/>
          <w:szCs w:val="22"/>
        </w:rPr>
        <w:t xml:space="preserve">	</w:t>
      </w:r>
      <w:r>
        <w:rPr>
          <w:rFonts w:ascii="Arial" w:cs="Arial" w:eastAsia="Arial" w:hAnsi="Arial"/>
          <w:color w:val="666666"/>
          <w:sz w:val="20"/>
          <w:szCs w:val="20"/>
        </w:rPr>
        <w:t xml:space="preserve">18</w:t>
      </w:r>
    </w:p>
    <w:p>
      <w:pPr>
        <w:tabs>
          <w:tab w:val="right" w:pos="9360" w:leader="dot"/>
        </w:tabs>
        <w:spacing w:after="80"/>
      </w:pPr>
      <w:r>
        <w:rPr>
          <w:rFonts w:ascii="Arial" w:cs="Arial" w:eastAsia="Arial" w:hAnsi="Arial"/>
          <w:b w:val="false"/>
          <w:bCs w:val="false"/>
          <w:color w:val="444444"/>
          <w:sz w:val="20"/>
          <w:szCs w:val="20"/>
        </w:rPr>
        <w:t xml:space="preserve">7.2 Discount Analysis</w:t>
      </w:r>
      <w:r>
        <w:rPr>
          <w:rFonts w:ascii="Arial" w:cs="Arial" w:eastAsia="Arial" w:hAnsi="Arial"/>
          <w:sz w:val="22"/>
          <w:szCs w:val="22"/>
        </w:rPr>
        <w:t xml:space="preserve">	</w:t>
      </w:r>
      <w:r>
        <w:rPr>
          <w:rFonts w:ascii="Arial" w:cs="Arial" w:eastAsia="Arial" w:hAnsi="Arial"/>
          <w:color w:val="666666"/>
          <w:sz w:val="20"/>
          <w:szCs w:val="20"/>
        </w:rPr>
        <w:t xml:space="preserve">18</w:t>
      </w:r>
    </w:p>
    <w:p>
      <w:pPr>
        <w:tabs>
          <w:tab w:val="right" w:pos="9360" w:leader="dot"/>
        </w:tabs>
        <w:spacing w:after="80"/>
      </w:pPr>
      <w:r>
        <w:rPr>
          <w:rFonts w:ascii="Arial" w:cs="Arial" w:eastAsia="Arial" w:hAnsi="Arial"/>
          <w:b w:val="false"/>
          <w:bCs w:val="false"/>
          <w:color w:val="444444"/>
          <w:sz w:val="20"/>
          <w:szCs w:val="20"/>
        </w:rPr>
        <w:t xml:space="preserve">7.3 Scenario Analysis</w:t>
      </w:r>
      <w:r>
        <w:rPr>
          <w:rFonts w:ascii="Arial" w:cs="Arial" w:eastAsia="Arial" w:hAnsi="Arial"/>
          <w:sz w:val="22"/>
          <w:szCs w:val="22"/>
        </w:rPr>
        <w:t xml:space="preserve">	</w:t>
      </w:r>
      <w:r>
        <w:rPr>
          <w:rFonts w:ascii="Arial" w:cs="Arial" w:eastAsia="Arial" w:hAnsi="Arial"/>
          <w:color w:val="666666"/>
          <w:sz w:val="20"/>
          <w:szCs w:val="20"/>
        </w:rPr>
        <w:t xml:space="preserve">19</w:t>
      </w:r>
    </w:p>
    <w:p>
      <w:pPr>
        <w:tabs>
          <w:tab w:val="right" w:pos="9360" w:leader="dot"/>
        </w:tabs>
        <w:spacing w:after="80"/>
      </w:pPr>
      <w:r>
        <w:rPr>
          <w:rFonts w:ascii="Arial" w:cs="Arial" w:eastAsia="Arial" w:hAnsi="Arial"/>
          <w:b/>
          <w:bCs/>
          <w:color w:val="1B365D"/>
          <w:sz w:val="22"/>
          <w:szCs w:val="22"/>
        </w:rPr>
        <w:t xml:space="preserve">8. Catalyst Timeline</w:t>
      </w:r>
      <w:r>
        <w:rPr>
          <w:rFonts w:ascii="Arial" w:cs="Arial" w:eastAsia="Arial" w:hAnsi="Arial"/>
          <w:sz w:val="22"/>
          <w:szCs w:val="22"/>
        </w:rPr>
        <w:t xml:space="preserve">	</w:t>
      </w:r>
      <w:r>
        <w:rPr>
          <w:rFonts w:ascii="Arial" w:cs="Arial" w:eastAsia="Arial" w:hAnsi="Arial"/>
          <w:color w:val="666666"/>
          <w:sz w:val="22"/>
          <w:szCs w:val="22"/>
        </w:rPr>
        <w:t xml:space="preserve">20</w:t>
      </w:r>
    </w:p>
    <w:p>
      <w:pPr>
        <w:tabs>
          <w:tab w:val="right" w:pos="9360" w:leader="dot"/>
        </w:tabs>
        <w:spacing w:after="80"/>
      </w:pPr>
      <w:r>
        <w:rPr>
          <w:rFonts w:ascii="Arial" w:cs="Arial" w:eastAsia="Arial" w:hAnsi="Arial"/>
          <w:b w:val="false"/>
          <w:bCs w:val="false"/>
          <w:color w:val="444444"/>
          <w:sz w:val="20"/>
          <w:szCs w:val="20"/>
        </w:rPr>
        <w:t xml:space="preserve">8.1 Near-Term Catalysts (Q1 2026)</w:t>
      </w:r>
      <w:r>
        <w:rPr>
          <w:rFonts w:ascii="Arial" w:cs="Arial" w:eastAsia="Arial" w:hAnsi="Arial"/>
          <w:sz w:val="22"/>
          <w:szCs w:val="22"/>
        </w:rPr>
        <w:t xml:space="preserve">	</w:t>
      </w:r>
      <w:r>
        <w:rPr>
          <w:rFonts w:ascii="Arial" w:cs="Arial" w:eastAsia="Arial" w:hAnsi="Arial"/>
          <w:color w:val="666666"/>
          <w:sz w:val="20"/>
          <w:szCs w:val="20"/>
        </w:rPr>
        <w:t xml:space="preserve">20</w:t>
      </w:r>
    </w:p>
    <w:p>
      <w:pPr>
        <w:tabs>
          <w:tab w:val="right" w:pos="9360" w:leader="dot"/>
        </w:tabs>
        <w:spacing w:after="80"/>
      </w:pPr>
      <w:r>
        <w:rPr>
          <w:rFonts w:ascii="Arial" w:cs="Arial" w:eastAsia="Arial" w:hAnsi="Arial"/>
          <w:b w:val="false"/>
          <w:bCs w:val="false"/>
          <w:color w:val="444444"/>
          <w:sz w:val="20"/>
          <w:szCs w:val="20"/>
        </w:rPr>
        <w:t xml:space="preserve">8.2 Medium-Term Catalysts (Q2-Q3 2026)</w:t>
      </w:r>
      <w:r>
        <w:rPr>
          <w:rFonts w:ascii="Arial" w:cs="Arial" w:eastAsia="Arial" w:hAnsi="Arial"/>
          <w:sz w:val="22"/>
          <w:szCs w:val="22"/>
        </w:rPr>
        <w:t xml:space="preserve">	</w:t>
      </w:r>
      <w:r>
        <w:rPr>
          <w:rFonts w:ascii="Arial" w:cs="Arial" w:eastAsia="Arial" w:hAnsi="Arial"/>
          <w:color w:val="666666"/>
          <w:sz w:val="20"/>
          <w:szCs w:val="20"/>
        </w:rPr>
        <w:t xml:space="preserve">20</w:t>
      </w:r>
    </w:p>
    <w:p>
      <w:pPr>
        <w:tabs>
          <w:tab w:val="right" w:pos="9360" w:leader="dot"/>
        </w:tabs>
        <w:spacing w:after="80"/>
      </w:pPr>
      <w:r>
        <w:rPr>
          <w:rFonts w:ascii="Arial" w:cs="Arial" w:eastAsia="Arial" w:hAnsi="Arial"/>
          <w:b w:val="false"/>
          <w:bCs w:val="false"/>
          <w:color w:val="444444"/>
          <w:sz w:val="20"/>
          <w:szCs w:val="20"/>
        </w:rPr>
        <w:t xml:space="preserve">8.3 Critical Date: March 10, 2026</w:t>
      </w:r>
      <w:r>
        <w:rPr>
          <w:rFonts w:ascii="Arial" w:cs="Arial" w:eastAsia="Arial" w:hAnsi="Arial"/>
          <w:sz w:val="22"/>
          <w:szCs w:val="22"/>
        </w:rPr>
        <w:t xml:space="preserve">	</w:t>
      </w:r>
      <w:r>
        <w:rPr>
          <w:rFonts w:ascii="Arial" w:cs="Arial" w:eastAsia="Arial" w:hAnsi="Arial"/>
          <w:color w:val="666666"/>
          <w:sz w:val="20"/>
          <w:szCs w:val="20"/>
        </w:rPr>
        <w:t xml:space="preserve">21</w:t>
      </w:r>
    </w:p>
    <w:p>
      <w:pPr>
        <w:tabs>
          <w:tab w:val="right" w:pos="9360" w:leader="dot"/>
        </w:tabs>
        <w:spacing w:after="80"/>
      </w:pPr>
      <w:r>
        <w:rPr>
          <w:rFonts w:ascii="Arial" w:cs="Arial" w:eastAsia="Arial" w:hAnsi="Arial"/>
          <w:b/>
          <w:bCs/>
          <w:color w:val="1B365D"/>
          <w:sz w:val="22"/>
          <w:szCs w:val="22"/>
        </w:rPr>
        <w:t xml:space="preserve">9. Risk Factors</w:t>
      </w:r>
      <w:r>
        <w:rPr>
          <w:rFonts w:ascii="Arial" w:cs="Arial" w:eastAsia="Arial" w:hAnsi="Arial"/>
          <w:sz w:val="22"/>
          <w:szCs w:val="22"/>
        </w:rPr>
        <w:t xml:space="preserve">	</w:t>
      </w:r>
      <w:r>
        <w:rPr>
          <w:rFonts w:ascii="Arial" w:cs="Arial" w:eastAsia="Arial" w:hAnsi="Arial"/>
          <w:color w:val="666666"/>
          <w:sz w:val="22"/>
          <w:szCs w:val="22"/>
        </w:rPr>
        <w:t xml:space="preserve">22</w:t>
      </w:r>
    </w:p>
    <w:p>
      <w:pPr>
        <w:tabs>
          <w:tab w:val="right" w:pos="9360" w:leader="dot"/>
        </w:tabs>
        <w:spacing w:after="80"/>
      </w:pPr>
      <w:r>
        <w:rPr>
          <w:rFonts w:ascii="Arial" w:cs="Arial" w:eastAsia="Arial" w:hAnsi="Arial"/>
          <w:b w:val="false"/>
          <w:bCs w:val="false"/>
          <w:color w:val="444444"/>
          <w:sz w:val="20"/>
          <w:szCs w:val="20"/>
        </w:rPr>
        <w:t xml:space="preserve">9.1 Company-Specific Risks</w:t>
      </w:r>
      <w:r>
        <w:rPr>
          <w:rFonts w:ascii="Arial" w:cs="Arial" w:eastAsia="Arial" w:hAnsi="Arial"/>
          <w:sz w:val="22"/>
          <w:szCs w:val="22"/>
        </w:rPr>
        <w:t xml:space="preserve">	</w:t>
      </w:r>
      <w:r>
        <w:rPr>
          <w:rFonts w:ascii="Arial" w:cs="Arial" w:eastAsia="Arial" w:hAnsi="Arial"/>
          <w:color w:val="666666"/>
          <w:sz w:val="20"/>
          <w:szCs w:val="20"/>
        </w:rPr>
        <w:t xml:space="preserve">22</w:t>
      </w:r>
    </w:p>
    <w:p>
      <w:pPr>
        <w:tabs>
          <w:tab w:val="right" w:pos="9360" w:leader="dot"/>
        </w:tabs>
        <w:spacing w:after="80"/>
      </w:pPr>
      <w:r>
        <w:rPr>
          <w:rFonts w:ascii="Arial" w:cs="Arial" w:eastAsia="Arial" w:hAnsi="Arial"/>
          <w:b w:val="false"/>
          <w:bCs w:val="false"/>
          <w:color w:val="444444"/>
          <w:sz w:val="20"/>
          <w:szCs w:val="20"/>
        </w:rPr>
        <w:t xml:space="preserve">9.2 Thesis-Specific Risks</w:t>
      </w:r>
      <w:r>
        <w:rPr>
          <w:rFonts w:ascii="Arial" w:cs="Arial" w:eastAsia="Arial" w:hAnsi="Arial"/>
          <w:sz w:val="22"/>
          <w:szCs w:val="22"/>
        </w:rPr>
        <w:t xml:space="preserve">	</w:t>
      </w:r>
      <w:r>
        <w:rPr>
          <w:rFonts w:ascii="Arial" w:cs="Arial" w:eastAsia="Arial" w:hAnsi="Arial"/>
          <w:color w:val="666666"/>
          <w:sz w:val="20"/>
          <w:szCs w:val="20"/>
        </w:rPr>
        <w:t xml:space="preserve">22</w:t>
      </w:r>
    </w:p>
    <w:p>
      <w:pPr>
        <w:tabs>
          <w:tab w:val="right" w:pos="9360" w:leader="dot"/>
        </w:tabs>
        <w:spacing w:after="80"/>
      </w:pPr>
      <w:r>
        <w:rPr>
          <w:rFonts w:ascii="Arial" w:cs="Arial" w:eastAsia="Arial" w:hAnsi="Arial"/>
          <w:b w:val="false"/>
          <w:bCs w:val="false"/>
          <w:color w:val="444444"/>
          <w:sz w:val="20"/>
          <w:szCs w:val="20"/>
        </w:rPr>
        <w:t xml:space="preserve">9.3 Market Risks</w:t>
      </w:r>
      <w:r>
        <w:rPr>
          <w:rFonts w:ascii="Arial" w:cs="Arial" w:eastAsia="Arial" w:hAnsi="Arial"/>
          <w:sz w:val="22"/>
          <w:szCs w:val="22"/>
        </w:rPr>
        <w:t xml:space="preserve">	</w:t>
      </w:r>
      <w:r>
        <w:rPr>
          <w:rFonts w:ascii="Arial" w:cs="Arial" w:eastAsia="Arial" w:hAnsi="Arial"/>
          <w:color w:val="666666"/>
          <w:sz w:val="20"/>
          <w:szCs w:val="20"/>
        </w:rPr>
        <w:t xml:space="preserve">23</w:t>
      </w:r>
    </w:p>
    <w:p>
      <w:pPr>
        <w:tabs>
          <w:tab w:val="right" w:pos="9360" w:leader="dot"/>
        </w:tabs>
        <w:spacing w:after="80"/>
      </w:pPr>
      <w:r>
        <w:rPr>
          <w:rFonts w:ascii="Arial" w:cs="Arial" w:eastAsia="Arial" w:hAnsi="Arial"/>
          <w:b/>
          <w:bCs/>
          <w:color w:val="1B365D"/>
          <w:sz w:val="22"/>
          <w:szCs w:val="22"/>
        </w:rPr>
        <w:t xml:space="preserve">10. Investment Thesis Summary</w:t>
      </w:r>
      <w:r>
        <w:rPr>
          <w:rFonts w:ascii="Arial" w:cs="Arial" w:eastAsia="Arial" w:hAnsi="Arial"/>
          <w:sz w:val="22"/>
          <w:szCs w:val="22"/>
        </w:rPr>
        <w:t xml:space="preserve">	</w:t>
      </w:r>
      <w:r>
        <w:rPr>
          <w:rFonts w:ascii="Arial" w:cs="Arial" w:eastAsia="Arial" w:hAnsi="Arial"/>
          <w:color w:val="666666"/>
          <w:sz w:val="22"/>
          <w:szCs w:val="22"/>
        </w:rPr>
        <w:t xml:space="preserve">24</w:t>
      </w:r>
    </w:p>
    <w:p>
      <w:pPr>
        <w:tabs>
          <w:tab w:val="right" w:pos="9360" w:leader="dot"/>
        </w:tabs>
        <w:spacing w:after="80"/>
      </w:pPr>
      <w:r>
        <w:rPr>
          <w:rFonts w:ascii="Arial" w:cs="Arial" w:eastAsia="Arial" w:hAnsi="Arial"/>
          <w:b w:val="false"/>
          <w:bCs w:val="false"/>
          <w:color w:val="444444"/>
          <w:sz w:val="20"/>
          <w:szCs w:val="20"/>
        </w:rPr>
        <w:t xml:space="preserve">10.1 Bull Case</w:t>
      </w:r>
      <w:r>
        <w:rPr>
          <w:rFonts w:ascii="Arial" w:cs="Arial" w:eastAsia="Arial" w:hAnsi="Arial"/>
          <w:sz w:val="22"/>
          <w:szCs w:val="22"/>
        </w:rPr>
        <w:t xml:space="preserve">	</w:t>
      </w:r>
      <w:r>
        <w:rPr>
          <w:rFonts w:ascii="Arial" w:cs="Arial" w:eastAsia="Arial" w:hAnsi="Arial"/>
          <w:color w:val="666666"/>
          <w:sz w:val="20"/>
          <w:szCs w:val="20"/>
        </w:rPr>
        <w:t xml:space="preserve">24</w:t>
      </w:r>
    </w:p>
    <w:p>
      <w:pPr>
        <w:tabs>
          <w:tab w:val="right" w:pos="9360" w:leader="dot"/>
        </w:tabs>
        <w:spacing w:after="80"/>
      </w:pPr>
      <w:r>
        <w:rPr>
          <w:rFonts w:ascii="Arial" w:cs="Arial" w:eastAsia="Arial" w:hAnsi="Arial"/>
          <w:b w:val="false"/>
          <w:bCs w:val="false"/>
          <w:color w:val="444444"/>
          <w:sz w:val="20"/>
          <w:szCs w:val="20"/>
        </w:rPr>
        <w:t xml:space="preserve">10.2 Bear Case</w:t>
      </w:r>
      <w:r>
        <w:rPr>
          <w:rFonts w:ascii="Arial" w:cs="Arial" w:eastAsia="Arial" w:hAnsi="Arial"/>
          <w:sz w:val="22"/>
          <w:szCs w:val="22"/>
        </w:rPr>
        <w:t xml:space="preserve">	</w:t>
      </w:r>
      <w:r>
        <w:rPr>
          <w:rFonts w:ascii="Arial" w:cs="Arial" w:eastAsia="Arial" w:hAnsi="Arial"/>
          <w:color w:val="666666"/>
          <w:sz w:val="20"/>
          <w:szCs w:val="20"/>
        </w:rPr>
        <w:t xml:space="preserve">24</w:t>
      </w:r>
    </w:p>
    <w:p>
      <w:pPr>
        <w:tabs>
          <w:tab w:val="right" w:pos="9360" w:leader="dot"/>
        </w:tabs>
        <w:spacing w:after="80"/>
      </w:pPr>
      <w:r>
        <w:rPr>
          <w:rFonts w:ascii="Arial" w:cs="Arial" w:eastAsia="Arial" w:hAnsi="Arial"/>
          <w:b w:val="false"/>
          <w:bCs w:val="false"/>
          <w:color w:val="444444"/>
          <w:sz w:val="20"/>
          <w:szCs w:val="20"/>
        </w:rPr>
        <w:t xml:space="preserve">10.3 Conclusion</w:t>
      </w:r>
      <w:r>
        <w:rPr>
          <w:rFonts w:ascii="Arial" w:cs="Arial" w:eastAsia="Arial" w:hAnsi="Arial"/>
          <w:sz w:val="22"/>
          <w:szCs w:val="22"/>
        </w:rPr>
        <w:t xml:space="preserve">	</w:t>
      </w:r>
      <w:r>
        <w:rPr>
          <w:rFonts w:ascii="Arial" w:cs="Arial" w:eastAsia="Arial" w:hAnsi="Arial"/>
          <w:color w:val="666666"/>
          <w:sz w:val="20"/>
          <w:szCs w:val="20"/>
        </w:rPr>
        <w:t xml:space="preserve">25</w:t>
      </w:r>
    </w:p>
    <w:p>
      <w:pPr>
        <w:tabs>
          <w:tab w:val="right" w:pos="9360" w:leader="dot"/>
        </w:tabs>
        <w:spacing w:after="80"/>
      </w:pPr>
      <w:r>
        <w:rPr>
          <w:rFonts w:ascii="Arial" w:cs="Arial" w:eastAsia="Arial" w:hAnsi="Arial"/>
          <w:b/>
          <w:bCs/>
          <w:color w:val="1B365D"/>
          <w:sz w:val="22"/>
          <w:szCs w:val="22"/>
        </w:rPr>
        <w:t xml:space="preserve">Appendix A: Source Documents</w:t>
      </w:r>
      <w:r>
        <w:rPr>
          <w:rFonts w:ascii="Arial" w:cs="Arial" w:eastAsia="Arial" w:hAnsi="Arial"/>
          <w:sz w:val="22"/>
          <w:szCs w:val="22"/>
        </w:rPr>
        <w:t xml:space="preserve">	</w:t>
      </w:r>
      <w:r>
        <w:rPr>
          <w:rFonts w:ascii="Arial" w:cs="Arial" w:eastAsia="Arial" w:hAnsi="Arial"/>
          <w:color w:val="666666"/>
          <w:sz w:val="22"/>
          <w:szCs w:val="22"/>
        </w:rPr>
        <w:t xml:space="preserve">26</w:t>
      </w:r>
    </w:p>
    <w:p>
      <w:pPr>
        <w:tabs>
          <w:tab w:val="right" w:pos="9360" w:leader="dot"/>
        </w:tabs>
        <w:spacing w:after="80"/>
      </w:pPr>
      <w:r>
        <w:rPr>
          <w:rFonts w:ascii="Arial" w:cs="Arial" w:eastAsia="Arial" w:hAnsi="Arial"/>
          <w:b/>
          <w:bCs/>
          <w:color w:val="1B365D"/>
          <w:sz w:val="22"/>
          <w:szCs w:val="22"/>
        </w:rPr>
        <w:t xml:space="preserve">Appendix B: Glossary of Terms</w:t>
      </w:r>
      <w:r>
        <w:rPr>
          <w:rFonts w:ascii="Arial" w:cs="Arial" w:eastAsia="Arial" w:hAnsi="Arial"/>
          <w:sz w:val="22"/>
          <w:szCs w:val="22"/>
        </w:rPr>
        <w:t xml:space="preserve">	</w:t>
      </w:r>
      <w:r>
        <w:rPr>
          <w:rFonts w:ascii="Arial" w:cs="Arial" w:eastAsia="Arial" w:hAnsi="Arial"/>
          <w:color w:val="666666"/>
          <w:sz w:val="22"/>
          <w:szCs w:val="22"/>
        </w:rPr>
        <w:t xml:space="preserve">27</w:t>
      </w:r>
    </w:p>
    <w:p>
      <w:pPr>
        <w:tabs>
          <w:tab w:val="right" w:pos="9360" w:leader="dot"/>
        </w:tabs>
        <w:spacing w:after="80"/>
      </w:pPr>
      <w:r>
        <w:rPr>
          <w:rFonts w:ascii="Arial" w:cs="Arial" w:eastAsia="Arial" w:hAnsi="Arial"/>
          <w:b/>
          <w:bCs/>
          <w:color w:val="1B365D"/>
          <w:sz w:val="22"/>
          <w:szCs w:val="22"/>
        </w:rPr>
        <w:t xml:space="preserve">Appendix C: Key Calculations</w:t>
      </w:r>
      <w:r>
        <w:rPr>
          <w:rFonts w:ascii="Arial" w:cs="Arial" w:eastAsia="Arial" w:hAnsi="Arial"/>
          <w:sz w:val="22"/>
          <w:szCs w:val="22"/>
        </w:rPr>
        <w:t xml:space="preserve">	</w:t>
      </w:r>
      <w:r>
        <w:rPr>
          <w:rFonts w:ascii="Arial" w:cs="Arial" w:eastAsia="Arial" w:hAnsi="Arial"/>
          <w:color w:val="666666"/>
          <w:sz w:val="22"/>
          <w:szCs w:val="22"/>
        </w:rPr>
        <w:t xml:space="preserve">28</w:t>
      </w:r>
    </w:p>
    <w:p>
      <w:r>
        <w:br w:type="page"/>
      </w:r>
    </w:p>
    <w:p>
      <w:pPr>
        <w:pStyle w:val="Heading1"/>
        <w:spacing w:before="400" w:after="200"/>
      </w:pPr>
      <w:r>
        <w:rPr>
          <w:rFonts w:ascii="Arial" w:cs="Arial" w:eastAsia="Arial" w:hAnsi="Arial"/>
          <w:b/>
          <w:bCs/>
          <w:color w:val="1B365D"/>
          <w:sz w:val="32"/>
          <w:szCs w:val="32"/>
        </w:rPr>
        <w:t xml:space="preserve">1. Executive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INVESTMENT THESIS</w:t>
            </w:r>
          </w:p>
          <w:p>
            <w:r>
              <w:rPr>
                <w:rFonts w:ascii="Arial" w:cs="Arial" w:eastAsia="Arial" w:hAnsi="Arial"/>
                <w:color w:val="333333"/>
                <w:sz w:val="22"/>
                <w:szCs w:val="22"/>
              </w:rPr>
              <w:t xml:space="preserve">AiRWA Inc. (YYAI) presents a compelling asymmetric opportunity: trading at a 69% discount to cash value ($1.08 vs. $3.47/share), with an undiscovered catalyst emerging from SEC-verified connections to an $893 million PIPE transaction. The CEO simultaneously serves as Director of StablecoinX, creating potential ecosystem integration that the market has not yet priced.</w:t>
            </w:r>
          </w:p>
        </w:tc>
      </w:tr>
    </w:tbl>
    <w:p>
      <w:pPr>
        <w:spacing w:after="200"/>
      </w:pPr>
    </w:p>
    <w:p>
      <w:pPr>
        <w:pStyle w:val="Heading2"/>
        <w:spacing w:before="300" w:after="150"/>
      </w:pPr>
      <w:r>
        <w:rPr>
          <w:rFonts w:ascii="Arial" w:cs="Arial" w:eastAsia="Arial" w:hAnsi="Arial"/>
          <w:b/>
          <w:bCs/>
          <w:color w:val="1B365D"/>
          <w:sz w:val="26"/>
          <w:szCs w:val="26"/>
        </w:rPr>
        <w:t xml:space="preserve">1.1 Key Findings</w:t>
      </w:r>
    </w:p>
    <w:p>
      <w:pPr>
        <w:pStyle w:val="ListParagraph"/>
        <w:numPr>
          <w:ilvl w:val="0"/>
          <w:numId w:val="2"/>
        </w:numPr>
        <w:spacing w:after="150"/>
      </w:pPr>
      <w:r>
        <w:rPr>
          <w:rFonts w:ascii="Arial" w:cs="Arial" w:eastAsia="Arial" w:hAnsi="Arial"/>
          <w:b/>
          <w:bCs/>
          <w:sz w:val="22"/>
          <w:szCs w:val="22"/>
        </w:rPr>
        <w:t xml:space="preserve">Extreme Valuation Discount: </w:t>
      </w:r>
      <w:r>
        <w:rPr>
          <w:rFonts w:ascii="Arial" w:cs="Arial" w:eastAsia="Arial" w:hAnsi="Arial"/>
          <w:sz w:val="22"/>
          <w:szCs w:val="22"/>
        </w:rPr>
        <w:t xml:space="preserve">YYAI trades at $1.08 per share while holding $132 million in cash ($3.47/share), representing a 68.9% discount to cash alone, before considering any operating business value.</w:t>
      </w:r>
    </w:p>
    <w:p>
      <w:pPr>
        <w:pStyle w:val="ListParagraph"/>
        <w:numPr>
          <w:ilvl w:val="0"/>
          <w:numId w:val="2"/>
        </w:numPr>
        <w:spacing w:after="150"/>
      </w:pPr>
      <w:r>
        <w:rPr>
          <w:rFonts w:ascii="Arial" w:cs="Arial" w:eastAsia="Arial" w:hAnsi="Arial"/>
          <w:b/>
          <w:bCs/>
          <w:sz w:val="22"/>
          <w:szCs w:val="22"/>
        </w:rPr>
        <w:t xml:space="preserve">SEC-Verified Executive Connection: </w:t>
      </w:r>
      <w:r>
        <w:rPr>
          <w:rFonts w:ascii="Arial" w:cs="Arial" w:eastAsia="Arial" w:hAnsi="Arial"/>
          <w:sz w:val="22"/>
          <w:szCs w:val="22"/>
        </w:rPr>
        <w:t xml:space="preserve">Thomas Tarala simultaneously serves as CEO of YYAI, Director of StablecoinX (TLGY), and Director of Core AI Holdings (CHAI). This triple role is explicitly disclosed in StablecoinX's Schedule 14A Definitive Proxy Statement filed February 18, 2026.</w:t>
      </w:r>
    </w:p>
    <w:p>
      <w:pPr>
        <w:pStyle w:val="ListParagraph"/>
        <w:numPr>
          <w:ilvl w:val="0"/>
          <w:numId w:val="2"/>
        </w:numPr>
        <w:spacing w:after="150"/>
      </w:pPr>
      <w:r>
        <w:rPr>
          <w:rFonts w:ascii="Arial" w:cs="Arial" w:eastAsia="Arial" w:hAnsi="Arial"/>
          <w:b/>
          <w:bCs/>
          <w:sz w:val="22"/>
          <w:szCs w:val="22"/>
        </w:rPr>
        <w:t xml:space="preserve">Undisclosed Institutional Accumulation: </w:t>
      </w:r>
      <w:r>
        <w:rPr>
          <w:rFonts w:ascii="Arial" w:cs="Arial" w:eastAsia="Arial" w:hAnsi="Arial"/>
          <w:sz w:val="22"/>
          <w:szCs w:val="22"/>
        </w:rPr>
        <w:t xml:space="preserve">On December 22, 2025, YYAI sold 15,382,378 shares (40.6% of the company) at $1.02 to "nine accredited investors" whose identities remain undisclosed. Proceeds designated for "previously announced joint venture" development.</w:t>
      </w:r>
    </w:p>
    <w:p>
      <w:pPr>
        <w:pStyle w:val="ListParagraph"/>
        <w:numPr>
          <w:ilvl w:val="0"/>
          <w:numId w:val="2"/>
        </w:numPr>
        <w:spacing w:after="150"/>
      </w:pPr>
      <w:r>
        <w:rPr>
          <w:rFonts w:ascii="Arial" w:cs="Arial" w:eastAsia="Arial" w:hAnsi="Arial"/>
          <w:b/>
          <w:bCs/>
          <w:sz w:val="22"/>
          <w:szCs w:val="22"/>
        </w:rPr>
        <w:t xml:space="preserve">Imminent Catalyst: </w:t>
      </w:r>
      <w:r>
        <w:rPr>
          <w:rFonts w:ascii="Arial" w:cs="Arial" w:eastAsia="Arial" w:hAnsi="Arial"/>
          <w:sz w:val="22"/>
          <w:szCs w:val="22"/>
        </w:rPr>
        <w:t xml:space="preserve">StablecoinX shareholder vote scheduled for March 10, 2026. Upon approval, the combined entity lists on Nasdaq under ticker USDE with access to 3.03 billion ENA tokens and $893 million in PIPE funding.</w:t>
      </w:r>
    </w:p>
    <w:p>
      <w:pPr>
        <w:pStyle w:val="ListParagraph"/>
        <w:numPr>
          <w:ilvl w:val="0"/>
          <w:numId w:val="2"/>
        </w:numPr>
        <w:spacing w:after="150"/>
      </w:pPr>
      <w:r>
        <w:rPr>
          <w:rFonts w:ascii="Arial" w:cs="Arial" w:eastAsia="Arial" w:hAnsi="Arial"/>
          <w:b/>
          <w:bCs/>
          <w:sz w:val="22"/>
          <w:szCs w:val="22"/>
        </w:rPr>
        <w:t xml:space="preserve">Significant Insider Alignment: </w:t>
      </w:r>
      <w:r>
        <w:rPr>
          <w:rFonts w:ascii="Arial" w:cs="Arial" w:eastAsia="Arial" w:hAnsi="Arial"/>
          <w:sz w:val="22"/>
          <w:szCs w:val="22"/>
        </w:rPr>
        <w:t xml:space="preserve">Chairman Hongyu Zhou has invested $7.2 million at an average price of $1.37/share, accumulating 20.3 million shares representing 48% ownership. His cost basis exceeds the current market price.</w:t>
      </w:r>
    </w:p>
    <w:p>
      <w:pPr>
        <w:pStyle w:val="ListParagraph"/>
        <w:numPr>
          <w:ilvl w:val="0"/>
          <w:numId w:val="2"/>
        </w:numPr>
        <w:spacing w:after="150"/>
      </w:pPr>
      <w:r>
        <w:rPr>
          <w:rFonts w:ascii="Arial" w:cs="Arial" w:eastAsia="Arial" w:hAnsi="Arial"/>
          <w:b/>
          <w:bCs/>
          <w:sz w:val="22"/>
          <w:szCs w:val="22"/>
        </w:rPr>
        <w:t xml:space="preserve">Token Purchase Agreement Reveals Institutional Entry: </w:t>
      </w:r>
      <w:r>
        <w:rPr>
          <w:rFonts w:ascii="Arial" w:cs="Arial" w:eastAsia="Arial" w:hAnsi="Arial"/>
          <w:sz w:val="22"/>
          <w:szCs w:val="22"/>
        </w:rPr>
        <w:t xml:space="preserve">SEC filings reveal PIPE investors acquired 914 million ENA tokens at $0.29/token ($265M total). Carnegie Park Capital confirmed as SPAC sponsor. Same institutional playbook of discounted entry being applied across Ethena ecosystem.</w:t>
      </w:r>
    </w:p>
    <w:p>
      <w:pPr>
        <w:spacing w:after="200"/>
      </w:pPr>
    </w:p>
    <w:p>
      <w:pPr>
        <w:pStyle w:val="Heading2"/>
        <w:spacing w:before="300" w:after="150"/>
      </w:pPr>
      <w:r>
        <w:rPr>
          <w:rFonts w:ascii="Arial" w:cs="Arial" w:eastAsia="Arial" w:hAnsi="Arial"/>
          <w:b/>
          <w:bCs/>
          <w:color w:val="1B365D"/>
          <w:sz w:val="26"/>
          <w:szCs w:val="26"/>
        </w:rPr>
        <w:t xml:space="preserve">1.2 Valuation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Metric</w:t>
            </w:r>
          </w:p>
        </w:tc>
        <w:tc>
          <w:tcPr>
            <w:tcW w:type="dxa" w:w="26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c>
          <w:tcPr>
            <w:tcW w:type="dxa" w:w="26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Source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Current Share Price</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$1.08</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Nasdaq, Feb 18, 2026</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Shares Outstanding</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~42 million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10-Q, Dec 23, 2025</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Market Capitalization</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~$45 million</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Calculated</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Cash Position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 million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10-Q, Oct 31, 2025</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Cash Per Share</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$3.47</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Calculated</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Discount to Cash</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68.9%</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Calculated</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JuCoin JV Stake (51%)</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$255 million</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8-K, Aug 2025</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Aberfeldy Acquisition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$140 million</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8-K, Sep 2025</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Intrinsic Value Estimate</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$12.56/share</w:t>
            </w:r>
          </w:p>
        </w:tc>
        <w:tc>
          <w:tcPr>
            <w:tcW w:type="dxa" w:w="2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Sum-of-Parts Analysis</w:t>
            </w:r>
          </w:p>
        </w:tc>
      </w:tr>
    </w:tbl>
    <w:p>
      <w:r>
        <w:br w:type="page"/>
      </w:r>
    </w:p>
    <w:p>
      <w:pPr>
        <w:pStyle w:val="Heading1"/>
        <w:spacing w:before="400" w:after="200"/>
      </w:pPr>
      <w:r>
        <w:rPr>
          <w:rFonts w:ascii="Arial" w:cs="Arial" w:eastAsia="Arial" w:hAnsi="Arial"/>
          <w:b/>
          <w:bCs/>
          <w:color w:val="1B365D"/>
          <w:sz w:val="32"/>
          <w:szCs w:val="32"/>
        </w:rPr>
        <w:t xml:space="preserve">2. Company Overview</w:t>
      </w:r>
    </w:p>
    <w:p>
      <w:pPr>
        <w:pStyle w:val="Heading2"/>
        <w:spacing w:before="300" w:after="150"/>
      </w:pPr>
      <w:r>
        <w:rPr>
          <w:rFonts w:ascii="Arial" w:cs="Arial" w:eastAsia="Arial" w:hAnsi="Arial"/>
          <w:b/>
          <w:bCs/>
          <w:color w:val="1B365D"/>
          <w:sz w:val="26"/>
          <w:szCs w:val="26"/>
        </w:rPr>
        <w:t xml:space="preserve">2.1 Corporate Profile</w:t>
      </w:r>
    </w:p>
    <w:p>
      <w:pPr>
        <w:spacing w:after="200" w:line="276"/>
        <w:jc w:val="both"/>
      </w:pPr>
      <w:r>
        <w:rPr>
          <w:rFonts w:ascii="Arial" w:cs="Arial" w:eastAsia="Arial" w:hAnsi="Arial"/>
          <w:color w:val="333333"/>
          <w:sz w:val="22"/>
          <w:szCs w:val="22"/>
        </w:rPr>
        <w:t xml:space="preserve">AiRWA Inc., formerly known as Connexa Sports Technologies Inc., is a Delaware corporation that has undergone significant strategic transformation. The company operates through its Hong Kong-based subsidiary, Yuanyu Enterprise Management Co., Limited (YYEM), which was acquired in November 2024. Following this acquisition, YYAI divested its legacy sports equipment business and pivoted toward financial technology and real-world asset tokenization.</w:t>
      </w:r>
    </w:p>
    <w:p>
      <w:pPr>
        <w:spacing w:after="200" w:line="276"/>
        <w:jc w:val="both"/>
      </w:pPr>
      <w:r>
        <w:rPr>
          <w:rFonts w:ascii="Arial" w:cs="Arial" w:eastAsia="Arial" w:hAnsi="Arial"/>
          <w:color w:val="333333"/>
          <w:sz w:val="22"/>
          <w:szCs w:val="22"/>
        </w:rPr>
        <w:t xml:space="preserve">The company's current business model encompasses three primary verticals: (1) intellectual property licensing in the matchmaking technology sector, generating approximately $6.0 million in royalties for the six months ended October 31, 2025; (2) development of AiRWA Exchange, a digital asset platform focused on tokenizing real-world assets, particularly U.S. equities; and (3) strategic investments in cryptocurrency exchange infrastructure through the JuCoin joint venture.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Corporate Information</w:t>
            </w:r>
          </w:p>
        </w:tc>
        <w:tc>
          <w:tcPr>
            <w:tcW w:type="dxa" w:w="468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Details</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Legal Name</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AiRWA Inc.</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Ticker Symbol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YYAI</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Exchange</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Nasdaq Capital Market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of Incorporation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Delaware</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Headquarters</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74 E. Glenwood Ave., #320, Smyrna, DE 19977</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Fiscal Year End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April 30</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Operating Subsidiary</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Yuanyu Enterprise Management Co., Limited (Hong Kong)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CIK Number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0001674440</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SIC Code</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7370 (Computer Programming, Data Processing)</w:t>
            </w:r>
          </w:p>
        </w:tc>
      </w:tr>
    </w:tbl>
    <w:p>
      <w:pPr>
        <w:spacing w:after="200"/>
      </w:pPr>
    </w:p>
    <w:p>
      <w:pPr>
        <w:pStyle w:val="Heading2"/>
        <w:spacing w:before="300" w:after="150"/>
      </w:pPr>
      <w:r>
        <w:rPr>
          <w:rFonts w:ascii="Arial" w:cs="Arial" w:eastAsia="Arial" w:hAnsi="Arial"/>
          <w:b/>
          <w:bCs/>
          <w:color w:val="1B365D"/>
          <w:sz w:val="26"/>
          <w:szCs w:val="26"/>
        </w:rPr>
        <w:t xml:space="preserve">2.2 Executive Management</w:t>
      </w:r>
    </w:p>
    <w:p>
      <w:pPr>
        <w:spacing w:after="200" w:line="276"/>
        <w:jc w:val="both"/>
      </w:pPr>
      <w:r>
        <w:rPr>
          <w:rFonts w:ascii="Arial" w:cs="Arial" w:eastAsia="Arial" w:hAnsi="Arial"/>
          <w:color w:val="333333"/>
          <w:sz w:val="22"/>
          <w:szCs w:val="22"/>
        </w:rPr>
        <w:t xml:space="preserve">The current management team was installed following the November 2024 acquisition, bringing significant international corporate finance and technology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Name</w:t>
            </w:r>
          </w:p>
        </w:tc>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Position</w:t>
            </w:r>
          </w:p>
        </w:tc>
        <w:tc>
          <w:tcPr>
            <w:tcW w:type="dxa" w:w="49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Background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Thomas Tarala</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CEO &amp; Director</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 years international corporate finance; former Baker McKenzie Partner; HNA Group General Counsel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Guibao Ji</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CFO</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 years CPA experience in China; Partner at Shenzhen Wanda Accounting</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Hongyu Zhou</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Chairman</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 years enterprise management; Founder of multiple technology companies; 48% owner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Warren Thomson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 Director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 years at international law firms; Link REIT General Counsel (Overseas)</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Chenlong Liu</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 Director</w:t>
            </w:r>
          </w:p>
        </w:tc>
        <w:tc>
          <w:tcPr>
            <w:tcW w:type="dxa" w:w="4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CPA; Technology investment director; Former China Fusion Capital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Kong (Luke) Liu</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 Director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Entrepreneur; Digital strategy specialist; MS Consultancy Managing Director</w:t>
            </w:r>
          </w:p>
        </w:tc>
      </w:tr>
    </w:tbl>
    <w:p>
      <w:pPr>
        <w:spacing w:after="200"/>
      </w:pPr>
    </w:p>
    <w:p>
      <w:pPr>
        <w:pStyle w:val="Heading2"/>
        <w:spacing w:before="300" w:after="150"/>
      </w:pPr>
      <w:r>
        <w:rPr>
          <w:rFonts w:ascii="Arial" w:cs="Arial" w:eastAsia="Arial" w:hAnsi="Arial"/>
          <w:b/>
          <w:bCs/>
          <w:color w:val="1B365D"/>
          <w:sz w:val="26"/>
          <w:szCs w:val="26"/>
        </w:rPr>
        <w:t xml:space="preserve">2.3 Recent Corporate Developments</w:t>
      </w:r>
    </w:p>
    <w:p>
      <w:pPr>
        <w:pStyle w:val="Heading3"/>
        <w:spacing w:before="200" w:after="100"/>
      </w:pPr>
      <w:r>
        <w:rPr>
          <w:rFonts w:ascii="Arial" w:cs="Arial" w:eastAsia="Arial" w:hAnsi="Arial"/>
          <w:b/>
          <w:bCs/>
          <w:color w:val="333333"/>
          <w:sz w:val="24"/>
          <w:szCs w:val="24"/>
        </w:rPr>
        <w:t xml:space="preserve">2.3.1 JuCoin Joint Venture ($500 Million)</w:t>
      </w:r>
    </w:p>
    <w:p>
      <w:pPr>
        <w:spacing w:after="200" w:line="276"/>
        <w:jc w:val="both"/>
      </w:pPr>
      <w:r>
        <w:rPr>
          <w:rFonts w:ascii="Arial" w:cs="Arial" w:eastAsia="Arial" w:hAnsi="Arial"/>
          <w:color w:val="333333"/>
          <w:sz w:val="22"/>
          <w:szCs w:val="22"/>
        </w:rPr>
        <w:t xml:space="preserve">In August 2025, YYAI announced a $500 million joint venture agreement to form AiRWA Exchange, a digital asset exchange focused on tokenizing real-world assets, specifically U.S. stocks. YYAI holds a 51% controlling stake, valuing its interest at $255 million. The exchange has completed test runs for settling trades of tokenized U.S. equities, with plans to offer users the ability to trade digital representations of U.S. stocks with settlement within seconds on blockchain infrastructure.</w:t>
      </w:r>
    </w:p>
    <w:p>
      <w:pPr>
        <w:pStyle w:val="Heading3"/>
        <w:spacing w:before="200" w:after="100"/>
      </w:pPr>
      <w:r>
        <w:rPr>
          <w:rFonts w:ascii="Arial" w:cs="Arial" w:eastAsia="Arial" w:hAnsi="Arial"/>
          <w:b/>
          <w:bCs/>
          <w:color w:val="333333"/>
          <w:sz w:val="24"/>
          <w:szCs w:val="24"/>
        </w:rPr>
        <w:t xml:space="preserve">2.3.2 Aberfeldy Acquisition ($140 Million)</w:t>
      </w:r>
    </w:p>
    <w:p>
      <w:pPr>
        <w:spacing w:after="200" w:line="276"/>
        <w:jc w:val="both"/>
      </w:pPr>
      <w:r>
        <w:rPr>
          <w:rFonts w:ascii="Arial" w:cs="Arial" w:eastAsia="Arial" w:hAnsi="Arial"/>
          <w:color w:val="333333"/>
          <w:sz w:val="22"/>
          <w:szCs w:val="22"/>
        </w:rPr>
        <w:t xml:space="preserve">In September 2025, YYAI completed the acquisition of Aberfeldy for $140 million. Aberfeldy operates data center infrastructure in Malaysia, providing potential synergies with YYAI's digital asset exchange operations through server capacity and geographic diversification.</w:t>
      </w:r>
    </w:p>
    <w:p>
      <w:pPr>
        <w:pStyle w:val="Heading3"/>
        <w:spacing w:before="200" w:after="100"/>
      </w:pPr>
      <w:r>
        <w:rPr>
          <w:rFonts w:ascii="Arial" w:cs="Arial" w:eastAsia="Arial" w:hAnsi="Arial"/>
          <w:b/>
          <w:bCs/>
          <w:color w:val="333333"/>
          <w:sz w:val="24"/>
          <w:szCs w:val="24"/>
        </w:rPr>
        <w:t xml:space="preserve">2.3.3 Reverse Stock Split</w:t>
      </w:r>
    </w:p>
    <w:p>
      <w:pPr>
        <w:spacing w:after="200" w:line="276"/>
        <w:jc w:val="both"/>
      </w:pPr>
      <w:r>
        <w:rPr>
          <w:rFonts w:ascii="Arial" w:cs="Arial" w:eastAsia="Arial" w:hAnsi="Arial"/>
          <w:color w:val="333333"/>
          <w:sz w:val="22"/>
          <w:szCs w:val="22"/>
        </w:rPr>
        <w:t xml:space="preserve">On October 27, 2025, YYAI effected a 1-for-50 reverse stock split to maintain Nasdaq listing compliance. All share counts and per-share figures in this report reflect post-split values unless otherwise noted.</w:t>
      </w:r>
    </w:p>
    <w:p>
      <w:pPr>
        <w:pStyle w:val="Heading3"/>
        <w:spacing w:before="200" w:after="100"/>
      </w:pPr>
      <w:r>
        <w:rPr>
          <w:rFonts w:ascii="Arial" w:cs="Arial" w:eastAsia="Arial" w:hAnsi="Arial"/>
          <w:b/>
          <w:bCs/>
          <w:color w:val="333333"/>
          <w:sz w:val="24"/>
          <w:szCs w:val="24"/>
        </w:rPr>
        <w:t xml:space="preserve">2.3.4 YYEM Minority Interest Acquisition</w:t>
      </w:r>
    </w:p>
    <w:p>
      <w:pPr>
        <w:spacing w:after="200" w:line="276"/>
        <w:jc w:val="both"/>
      </w:pPr>
      <w:r>
        <w:rPr>
          <w:rFonts w:ascii="Arial" w:cs="Arial" w:eastAsia="Arial" w:hAnsi="Arial"/>
          <w:color w:val="333333"/>
          <w:sz w:val="22"/>
          <w:szCs w:val="22"/>
        </w:rPr>
        <w:t xml:space="preserve">On October 22, 2025, YYAI entered into a share purchase agreement to acquire the remaining 30% of YYEM from Chairman Zhou for $36 million in cash, consolidating full ownership of the operating subsidiary.</w:t>
      </w:r>
    </w:p>
    <w:p>
      <w:r>
        <w:br w:type="page"/>
      </w:r>
    </w:p>
    <w:p>
      <w:pPr>
        <w:pStyle w:val="Heading1"/>
        <w:spacing w:before="400" w:after="200"/>
      </w:pPr>
      <w:r>
        <w:rPr>
          <w:rFonts w:ascii="Arial" w:cs="Arial" w:eastAsia="Arial" w:hAnsi="Arial"/>
          <w:b/>
          <w:bCs/>
          <w:color w:val="1B365D"/>
          <w:sz w:val="32"/>
          <w:szCs w:val="32"/>
        </w:rPr>
        <w:t xml:space="preserve">3. Financial Position Analysis</w:t>
      </w:r>
    </w:p>
    <w:p>
      <w:pPr>
        <w:pStyle w:val="Heading2"/>
        <w:spacing w:before="300" w:after="150"/>
      </w:pPr>
      <w:r>
        <w:rPr>
          <w:rFonts w:ascii="Arial" w:cs="Arial" w:eastAsia="Arial" w:hAnsi="Arial"/>
          <w:b/>
          <w:bCs/>
          <w:color w:val="1B365D"/>
          <w:sz w:val="26"/>
          <w:szCs w:val="26"/>
        </w:rPr>
        <w:t xml:space="preserve">3.1 Balance Sheet Strength</w:t>
      </w:r>
    </w:p>
    <w:p>
      <w:pPr>
        <w:spacing w:after="200" w:line="276"/>
        <w:jc w:val="both"/>
      </w:pPr>
      <w:r>
        <w:rPr>
          <w:rFonts w:ascii="Arial" w:cs="Arial" w:eastAsia="Arial" w:hAnsi="Arial"/>
          <w:color w:val="333333"/>
          <w:sz w:val="22"/>
          <w:szCs w:val="22"/>
        </w:rPr>
        <w:t xml:space="preserve">YYAI's financial position is characterized by extraordinary cash reserves relative to its market capitalization. As of October 31, 2025, the company held approximately $132 million in cash and cash equivalents, representing approximately $3.47 per share based on approximately 38 million shares outstanding at that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CRITICAL VALUATION INSIGHT</w:t>
            </w:r>
          </w:p>
          <w:p>
            <w:r>
              <w:rPr>
                <w:rFonts w:ascii="Arial" w:cs="Arial" w:eastAsia="Arial" w:hAnsi="Arial"/>
                <w:color w:val="333333"/>
                <w:sz w:val="22"/>
                <w:szCs w:val="22"/>
              </w:rPr>
              <w:t xml:space="preserve">At the current price of $1.08, investors are paying $0.31 for every $1.00 of cash on the balance sheet. This implies the market is assigning NEGATIVE value to the operating business, strategic investments, and future growth prospects.</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000"/>
        <w:gridCol w:w="2360"/>
      </w:tblGrid>
      <w:tr>
        <w:tc>
          <w:tcPr>
            <w:tcW w:type="dxa" w:w="4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Balance Sheet Item</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 (Oct 31, 2025)</w:t>
            </w:r>
          </w:p>
        </w:tc>
        <w:tc>
          <w:tcPr>
            <w:tcW w:type="dxa" w:w="2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Per Share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Cash and Cash Equivalents</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$132,000,000</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$3.47</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Current Assets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~$145,000,000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$3.82</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Assets</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~$285,000,000</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$7.50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Liabilities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~$15,000,000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$0.39</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Stockholders' Equity</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~$270,000,000</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$7.11</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Current Market Cap</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~$45,000,000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$1.08</w:t>
            </w:r>
          </w:p>
        </w:tc>
      </w:tr>
    </w:tbl>
    <w:p>
      <w:pPr>
        <w:spacing w:after="200"/>
      </w:pPr>
    </w:p>
    <w:p>
      <w:pPr>
        <w:pStyle w:val="Heading2"/>
        <w:spacing w:before="300" w:after="150"/>
      </w:pPr>
      <w:r>
        <w:rPr>
          <w:rFonts w:ascii="Arial" w:cs="Arial" w:eastAsia="Arial" w:hAnsi="Arial"/>
          <w:b/>
          <w:bCs/>
          <w:color w:val="1B365D"/>
          <w:sz w:val="26"/>
          <w:szCs w:val="26"/>
        </w:rPr>
        <w:t xml:space="preserve">3.2 Capital Raises and Dilution</w:t>
      </w:r>
    </w:p>
    <w:p>
      <w:pPr>
        <w:spacing w:after="200" w:line="276"/>
        <w:jc w:val="both"/>
      </w:pPr>
      <w:r>
        <w:rPr>
          <w:rFonts w:ascii="Arial" w:cs="Arial" w:eastAsia="Arial" w:hAnsi="Arial"/>
          <w:color w:val="333333"/>
          <w:sz w:val="22"/>
          <w:szCs w:val="22"/>
        </w:rPr>
        <w:t xml:space="preserve">YYAI has conducted significant capital raising activities in fiscal year 2026, generating substantial cash reserves:</w:t>
      </w:r>
    </w:p>
    <w:p>
      <w:pPr>
        <w:pStyle w:val="Heading3"/>
        <w:spacing w:before="200" w:after="100"/>
      </w:pPr>
      <w:r>
        <w:rPr>
          <w:rFonts w:ascii="Arial" w:cs="Arial" w:eastAsia="Arial" w:hAnsi="Arial"/>
          <w:b/>
          <w:bCs/>
          <w:color w:val="333333"/>
          <w:sz w:val="24"/>
          <w:szCs w:val="24"/>
        </w:rPr>
        <w:t xml:space="preserve">3.2.1 ATM Facility</w:t>
      </w:r>
    </w:p>
    <w:p>
      <w:pPr>
        <w:spacing w:after="200" w:line="276"/>
        <w:jc w:val="both"/>
      </w:pPr>
      <w:r>
        <w:rPr>
          <w:rFonts w:ascii="Arial" w:cs="Arial" w:eastAsia="Arial" w:hAnsi="Arial"/>
          <w:color w:val="333333"/>
          <w:sz w:val="22"/>
          <w:szCs w:val="22"/>
        </w:rPr>
        <w:t xml:space="preserve">Under the At-The-Market facility established with A.G.P./Alliance Global Partners, YYAI sold 21,775,662 shares (adjusted for reverse split) generating $179.2 million in gross proceeds ($172.5 million net after 3% commission and expenses) through December 15, 2025.</w:t>
      </w:r>
    </w:p>
    <w:p>
      <w:pPr>
        <w:pStyle w:val="Heading3"/>
        <w:spacing w:before="200" w:after="100"/>
      </w:pPr>
      <w:r>
        <w:rPr>
          <w:rFonts w:ascii="Arial" w:cs="Arial" w:eastAsia="Arial" w:hAnsi="Arial"/>
          <w:b/>
          <w:bCs/>
          <w:color w:val="333333"/>
          <w:sz w:val="24"/>
          <w:szCs w:val="24"/>
        </w:rPr>
        <w:t xml:space="preserve">3.2.2 December 2025 Registered Direct Offering</w:t>
      </w:r>
    </w:p>
    <w:p>
      <w:pPr>
        <w:spacing w:after="200" w:line="276"/>
        <w:jc w:val="both"/>
      </w:pPr>
      <w:r>
        <w:rPr>
          <w:rFonts w:ascii="Arial" w:cs="Arial" w:eastAsia="Arial" w:hAnsi="Arial"/>
          <w:color w:val="333333"/>
          <w:sz w:val="22"/>
          <w:szCs w:val="22"/>
        </w:rPr>
        <w:t xml:space="preserve">On December 22, 2025, YYAI completed a registered direct offering of 15,382,378 shares at $1.02 per share to nine undisclosed accredited investors, raising $15.69 million gross ($14.77 million net). This single transaction increased shares outstanding by approximately 40.6%.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1800"/>
        <w:gridCol w:w="1200"/>
        <w:gridCol w:w="1860"/>
      </w:tblGrid>
      <w:tr>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Capital Raise</w:t>
            </w:r>
          </w:p>
        </w:tc>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Date</w:t>
            </w:r>
          </w:p>
        </w:tc>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Shares Issued</w:t>
            </w:r>
          </w:p>
        </w:tc>
        <w:tc>
          <w:tcPr>
            <w:tcW w:type="dxa" w:w="1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Price</w:t>
            </w:r>
          </w:p>
        </w:tc>
        <w:tc>
          <w:tcPr>
            <w:tcW w:type="dxa" w:w="1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Gross Proceeds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ATM Facility</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Through Dec 15, 2025</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21,775,662</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Varies</w:t>
            </w:r>
          </w:p>
        </w:tc>
        <w:tc>
          <w:tcPr>
            <w:tcW w:type="dxa" w:w="1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$179,218,780</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November ATM Sales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November 2025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3,516,625</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~$1.02</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$3,604,594</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December Direct Offering</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December 22, 2025</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15,382,378</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$1.02</w:t>
            </w:r>
          </w:p>
        </w:tc>
        <w:tc>
          <w:tcPr>
            <w:tcW w:type="dxa" w:w="1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$15,689,990</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Private Placement (Aug)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August 19, 2025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400,000 units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$11.50</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$4,600,000</w:t>
            </w:r>
          </w:p>
        </w:tc>
      </w:tr>
    </w:tbl>
    <w:p>
      <w:pPr>
        <w:spacing w:after="200"/>
      </w:pPr>
    </w:p>
    <w:p>
      <w:pPr>
        <w:pStyle w:val="Heading2"/>
        <w:spacing w:before="300" w:after="150"/>
      </w:pPr>
      <w:r>
        <w:rPr>
          <w:rFonts w:ascii="Arial" w:cs="Arial" w:eastAsia="Arial" w:hAnsi="Arial"/>
          <w:b/>
          <w:bCs/>
          <w:color w:val="1B365D"/>
          <w:sz w:val="26"/>
          <w:szCs w:val="26"/>
        </w:rPr>
        <w:t xml:space="preserve">3.3 Use of Proceeds</w:t>
      </w:r>
    </w:p>
    <w:p>
      <w:pPr>
        <w:spacing w:after="200" w:line="276"/>
        <w:jc w:val="both"/>
      </w:pPr>
      <w:r>
        <w:rPr>
          <w:rFonts w:ascii="Arial" w:cs="Arial" w:eastAsia="Arial" w:hAnsi="Arial"/>
          <w:color w:val="333333"/>
          <w:sz w:val="22"/>
          <w:szCs w:val="22"/>
        </w:rPr>
        <w:t xml:space="preserve">According to the December 2025 prospectus supplement, the company intends to use net proceeds for:</w:t>
      </w:r>
    </w:p>
    <w:p>
      <w:pPr>
        <w:pStyle w:val="ListParagraph"/>
        <w:numPr>
          <w:ilvl w:val="0"/>
          <w:numId w:val="3"/>
        </w:numPr>
        <w:spacing w:after="100"/>
      </w:pPr>
      <w:r>
        <w:rPr>
          <w:rFonts w:ascii="Arial" w:cs="Arial" w:eastAsia="Arial" w:hAnsi="Arial"/>
          <w:sz w:val="22"/>
          <w:szCs w:val="22"/>
        </w:rPr>
        <w:t xml:space="preserve">Furtherance of the previously announced joint venture (JuCoin/AiRWA Exchange)</w:t>
      </w:r>
    </w:p>
    <w:p>
      <w:pPr>
        <w:pStyle w:val="ListParagraph"/>
        <w:numPr>
          <w:ilvl w:val="0"/>
          <w:numId w:val="3"/>
        </w:numPr>
        <w:spacing w:after="100"/>
      </w:pPr>
      <w:r>
        <w:rPr>
          <w:rFonts w:ascii="Arial" w:cs="Arial" w:eastAsia="Arial" w:hAnsi="Arial"/>
          <w:sz w:val="22"/>
          <w:szCs w:val="22"/>
        </w:rPr>
        <w:t xml:space="preserve">Corporate acquisitions (no specific targets identified)</w:t>
      </w:r>
    </w:p>
    <w:p>
      <w:pPr>
        <w:pStyle w:val="ListParagraph"/>
        <w:numPr>
          <w:ilvl w:val="0"/>
          <w:numId w:val="3"/>
        </w:numPr>
        <w:spacing w:after="100"/>
      </w:pPr>
      <w:r>
        <w:rPr>
          <w:rFonts w:ascii="Arial" w:cs="Arial" w:eastAsia="Arial" w:hAnsi="Arial"/>
          <w:sz w:val="22"/>
          <w:szCs w:val="22"/>
        </w:rPr>
        <w:t xml:space="preserve">Working capital and general corporate purposes</w:t>
      </w:r>
    </w:p>
    <w:p>
      <w:pPr>
        <w:spacing w:after="200" w:line="276"/>
        <w:jc w:val="both"/>
      </w:pPr>
      <w:r>
        <w:rPr>
          <w:rFonts w:ascii="Arial" w:cs="Arial" w:eastAsia="Arial" w:hAnsi="Arial"/>
          <w:color w:val="333333"/>
          <w:sz w:val="22"/>
          <w:szCs w:val="22"/>
        </w:rPr>
        <w:t xml:space="preserve">The explicit reference to the "previously announced joint venture" in the use of proceeds section establishes a direct financial connection between the December capital raise and the JuCoin exchange development.</w:t>
      </w:r>
    </w:p>
    <w:p>
      <w:r>
        <w:br w:type="page"/>
      </w:r>
    </w:p>
    <w:p>
      <w:pPr>
        <w:pStyle w:val="Heading1"/>
        <w:spacing w:before="400" w:after="200"/>
      </w:pPr>
      <w:r>
        <w:rPr>
          <w:rFonts w:ascii="Arial" w:cs="Arial" w:eastAsia="Arial" w:hAnsi="Arial"/>
          <w:b/>
          <w:bCs/>
          <w:color w:val="1B365D"/>
          <w:sz w:val="32"/>
          <w:szCs w:val="32"/>
        </w:rPr>
        <w:t xml:space="preserve">4. The StablecoinX Connection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THE TARALA TRIANGLE - SEC VERIFIED</w:t>
            </w:r>
          </w:p>
          <w:p>
            <w:r>
              <w:rPr>
                <w:rFonts w:ascii="Arial" w:cs="Arial" w:eastAsia="Arial" w:hAnsi="Arial"/>
                <w:color w:val="333333"/>
                <w:sz w:val="22"/>
                <w:szCs w:val="22"/>
              </w:rPr>
              <w:t xml:space="preserve">Thomas Tarala simultaneously holds three positions: (1) CEO of YYAI since November 2024, (2) Director of StablecoinX since October 2025, and (3) Independent Director of Core AI Holdings (CHAI). This creates SEC EDGAR cross-filing requirements and potential ecosystem integration opportunities that the market has not yet recognized.</w:t>
            </w:r>
          </w:p>
        </w:tc>
      </w:tr>
    </w:tbl>
    <w:p>
      <w:pPr>
        <w:spacing w:after="200"/>
      </w:pPr>
    </w:p>
    <w:p>
      <w:pPr>
        <w:pStyle w:val="Heading2"/>
        <w:spacing w:before="300" w:after="150"/>
      </w:pPr>
      <w:r>
        <w:rPr>
          <w:rFonts w:ascii="Arial" w:cs="Arial" w:eastAsia="Arial" w:hAnsi="Arial"/>
          <w:b/>
          <w:bCs/>
          <w:color w:val="1B365D"/>
          <w:sz w:val="26"/>
          <w:szCs w:val="26"/>
        </w:rPr>
        <w:t xml:space="preserve">4.1 SEC Filing Evidence</w:t>
      </w:r>
    </w:p>
    <w:p>
      <w:pPr>
        <w:spacing w:after="200" w:line="276"/>
        <w:jc w:val="both"/>
      </w:pPr>
      <w:r>
        <w:rPr>
          <w:rFonts w:ascii="Arial" w:cs="Arial" w:eastAsia="Arial" w:hAnsi="Arial"/>
          <w:color w:val="333333"/>
          <w:sz w:val="22"/>
          <w:szCs w:val="22"/>
        </w:rPr>
        <w:t xml:space="preserve">The connection between YYAI and StablecoinX is explicitly documented in SEC filings. From StablecoinX's Schedule 14A Definitive Proxy Statement filed February 18, 2026, pages 247-248: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50"/>
              <w:left w:type="dxa" w:w="200"/>
              <w:bottom w:type="dxa" w:w="150"/>
              <w:right w:type="dxa" w:w="200"/>
            </w:tcMar>
          </w:tcPr>
          <w:p>
            <w:pPr>
              <w:jc w:val="both"/>
            </w:pPr>
            <w:r>
              <w:rPr>
                <w:rFonts w:ascii="Arial" w:cs="Arial" w:eastAsia="Arial" w:hAnsi="Arial"/>
                <w:i/>
                <w:iCs/>
                <w:sz w:val="22"/>
                <w:szCs w:val="22"/>
              </w:rPr>
              <w:t xml:space="preserve">"Thomas Tarala, Director - Mr. Tarala has served as the Chief Executive Officer of AiRWA Inc. (Nasdaq: YYAI), a Nasdaq-listed technology company, since November 2024, and as an independent director of Core AI Holdings, Inc. (Nasdaq: CHAI), a Nasdaq-listed AI-focused holding company, since October 2025."</w:t>
            </w:r>
          </w:p>
        </w:tc>
      </w:tr>
    </w:tbl>
    <w:p>
      <w:pPr>
        <w:spacing w:after="200"/>
      </w:pPr>
    </w:p>
    <w:p>
      <w:pPr>
        <w:spacing w:after="200" w:line="276"/>
        <w:jc w:val="both"/>
      </w:pPr>
      <w:r>
        <w:rPr>
          <w:rFonts w:ascii="Arial" w:cs="Arial" w:eastAsia="Arial" w:hAnsi="Arial"/>
          <w:color w:val="333333"/>
          <w:sz w:val="22"/>
          <w:szCs w:val="22"/>
        </w:rPr>
        <w:t xml:space="preserve">The proxy statement further explains the rationale for Tarala's board appointment: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50"/>
              <w:left w:type="dxa" w:w="200"/>
              <w:bottom w:type="dxa" w:w="150"/>
              <w:right w:type="dxa" w:w="200"/>
            </w:tcMar>
          </w:tcPr>
          <w:p>
            <w:pPr>
              <w:jc w:val="both"/>
            </w:pPr>
            <w:r>
              <w:rPr>
                <w:rFonts w:ascii="Arial" w:cs="Arial" w:eastAsia="Arial" w:hAnsi="Arial"/>
                <w:i/>
                <w:iCs/>
                <w:sz w:val="22"/>
                <w:szCs w:val="22"/>
              </w:rPr>
              <w:t xml:space="preserve">"[Tarala was selected for] experience with technology companies, as well as knowledge of U.S. Securities and Exchange Commission reporting and Nasdaq listing requirements, including through his service as director and Chief Executive Officer of Nasdaq-listed companies."</w:t>
            </w:r>
          </w:p>
        </w:tc>
      </w:tr>
    </w:tbl>
    <w:p>
      <w:pPr>
        <w:spacing w:after="200"/>
      </w:pPr>
    </w:p>
    <w:p>
      <w:pPr>
        <w:pStyle w:val="Heading2"/>
        <w:spacing w:before="300" w:after="150"/>
      </w:pPr>
      <w:r>
        <w:rPr>
          <w:rFonts w:ascii="Arial" w:cs="Arial" w:eastAsia="Arial" w:hAnsi="Arial"/>
          <w:b/>
          <w:bCs/>
          <w:color w:val="1B365D"/>
          <w:sz w:val="26"/>
          <w:szCs w:val="26"/>
        </w:rPr>
        <w:t xml:space="preserve">4.2 StablecoinX Transaction Overview</w:t>
      </w:r>
    </w:p>
    <w:p>
      <w:pPr>
        <w:spacing w:after="200" w:line="276"/>
        <w:jc w:val="both"/>
      </w:pPr>
      <w:r>
        <w:rPr>
          <w:rFonts w:ascii="Arial" w:cs="Arial" w:eastAsia="Arial" w:hAnsi="Arial"/>
          <w:color w:val="333333"/>
          <w:sz w:val="22"/>
          <w:szCs w:val="22"/>
        </w:rPr>
        <w:t xml:space="preserve">StablecoinX represents a significant transaction in the cryptocurrency infrastructure space: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StablecoinX Metrics</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c>
          <w:tcPr>
            <w:tcW w:type="dxa" w:w="3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Details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PIPE Financing</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$893 million</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Committed capital from institutional investors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ENA Token Holdings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3.03 billion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 of 15B total supply; 39.4% of circulating</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Token Lock-up</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48 months</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 at 12 months; 75% over 36 monthly installments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Voting Control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64.3%</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Ethena Foundation control via Class B shares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Nasdaq Ticker (Post-Close)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USDE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Upon shareholder approval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Shareholder Vote Date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March 10, 2026</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 days from February 18 proxy filing</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Redemption Deadline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March 6, 2026</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5:00 PM ET</w:t>
            </w:r>
          </w:p>
        </w:tc>
      </w:tr>
    </w:tbl>
    <w:p>
      <w:pPr>
        <w:spacing w:after="200"/>
      </w:pPr>
    </w:p>
    <w:p>
      <w:pPr>
        <w:pStyle w:val="Heading2"/>
        <w:spacing w:before="300" w:after="150"/>
      </w:pPr>
      <w:r>
        <w:rPr>
          <w:rFonts w:ascii="Arial" w:cs="Arial" w:eastAsia="Arial" w:hAnsi="Arial"/>
          <w:b/>
          <w:bCs/>
          <w:color w:val="1B365D"/>
          <w:sz w:val="26"/>
          <w:szCs w:val="26"/>
        </w:rPr>
        <w:t xml:space="preserve">4.3 StablecoinX Board Composition</w:t>
      </w:r>
    </w:p>
    <w:p>
      <w:pPr>
        <w:spacing w:after="200" w:line="276"/>
        <w:jc w:val="both"/>
      </w:pPr>
      <w:r>
        <w:rPr>
          <w:rFonts w:ascii="Arial" w:cs="Arial" w:eastAsia="Arial" w:hAnsi="Arial"/>
          <w:color w:val="333333"/>
          <w:sz w:val="22"/>
          <w:szCs w:val="22"/>
        </w:rPr>
        <w:t xml:space="preserve">Following the business combination closing, StablecoinX's board will consist 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Director</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Role</w:t>
            </w:r>
          </w:p>
        </w:tc>
        <w:tc>
          <w:tcPr>
            <w:tcW w:type="dxa" w:w="3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Affiliation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Edward Chen</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CEO &amp; Chairman</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Carnegie Park Capital (Sponsor)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Young Cho</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CFO</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StablecoinX Management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Marc Piano</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Director</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Ethena Foundation Designee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John Griffiths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Director</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Alkesh Shah</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Director</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Thomas Tarala</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Director</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YYAI CEO / CHAI Director</w:t>
            </w:r>
          </w:p>
        </w:tc>
      </w:tr>
    </w:tbl>
    <w:p>
      <w:pPr>
        <w:spacing w:after="200"/>
      </w:pPr>
    </w:p>
    <w:p>
      <w:pPr>
        <w:pStyle w:val="Heading2"/>
        <w:spacing w:before="300" w:after="150"/>
      </w:pPr>
      <w:r>
        <w:rPr>
          <w:rFonts w:ascii="Arial" w:cs="Arial" w:eastAsia="Arial" w:hAnsi="Arial"/>
          <w:b/>
          <w:bCs/>
          <w:color w:val="1B365D"/>
          <w:sz w:val="26"/>
          <w:szCs w:val="26"/>
        </w:rPr>
        <w:t xml:space="preserve">4.4 StablecoinX PIPE Investor Base</w:t>
      </w:r>
    </w:p>
    <w:p>
      <w:pPr>
        <w:spacing w:after="200" w:line="276"/>
        <w:jc w:val="both"/>
      </w:pPr>
      <w:r>
        <w:rPr>
          <w:rFonts w:ascii="Arial" w:cs="Arial" w:eastAsia="Arial" w:hAnsi="Arial"/>
          <w:color w:val="333333"/>
          <w:sz w:val="22"/>
          <w:szCs w:val="22"/>
        </w:rPr>
        <w:t xml:space="preserve">The $893 million PIPE financing attracted premier cryptocurrency and fintech investors: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Investor Category</w:t>
            </w:r>
          </w:p>
        </w:tc>
        <w:tc>
          <w:tcPr>
            <w:tcW w:type="dxa" w:w="5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Notable Participants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Crypto Venture Capital</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Dragonfly, Pantera Capital, Polychain Capital, ParaFi Capital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Traditional Finance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Brevan Howard Digital, Franklin Templeton, Galaxy Digital</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Strategic Investors</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Wintermute, Amber Group, Blockchain.com</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Advisory Board (Non-PIPE)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Rob Hadick (Dragonfly), Kyle Samani (Multicoin), Nic Carter (Castle Island)</w:t>
            </w:r>
          </w:p>
        </w:tc>
      </w:tr>
    </w:tbl>
    <w:p>
      <w:pPr>
        <w:spacing w:after="200"/>
      </w:pPr>
    </w:p>
    <w:p>
      <w:pPr>
        <w:pStyle w:val="Heading2"/>
        <w:spacing w:before="300" w:after="150"/>
      </w:pPr>
      <w:r>
        <w:rPr>
          <w:rFonts w:ascii="Arial" w:cs="Arial" w:eastAsia="Arial" w:hAnsi="Arial"/>
          <w:b/>
          <w:bCs/>
          <w:color w:val="1B365D"/>
          <w:sz w:val="26"/>
          <w:szCs w:val="26"/>
        </w:rPr>
        <w:t xml:space="preserve">4.5 Ethena Protocol Background</w:t>
      </w:r>
    </w:p>
    <w:p>
      <w:pPr>
        <w:spacing w:after="200" w:line="276"/>
        <w:jc w:val="both"/>
      </w:pPr>
      <w:r>
        <w:rPr>
          <w:rFonts w:ascii="Arial" w:cs="Arial" w:eastAsia="Arial" w:hAnsi="Arial"/>
          <w:color w:val="333333"/>
          <w:sz w:val="22"/>
          <w:szCs w:val="22"/>
        </w:rPr>
        <w:t xml:space="preserve">StablecoinX's core business involves providing infrastructure services within the Ethena Protocol ecosystem. Key facts about Ethena:</w:t>
      </w:r>
    </w:p>
    <w:p>
      <w:pPr>
        <w:pStyle w:val="ListParagraph"/>
        <w:numPr>
          <w:ilvl w:val="0"/>
          <w:numId w:val="3"/>
        </w:numPr>
        <w:spacing w:after="100"/>
      </w:pPr>
      <w:r>
        <w:rPr>
          <w:rFonts w:ascii="Arial" w:cs="Arial" w:eastAsia="Arial" w:hAnsi="Arial"/>
          <w:sz w:val="22"/>
          <w:szCs w:val="22"/>
        </w:rPr>
        <w:t xml:space="preserve">USDe is the third largest stablecoin by market capitalization</w:t>
      </w:r>
    </w:p>
    <w:p>
      <w:pPr>
        <w:pStyle w:val="ListParagraph"/>
        <w:numPr>
          <w:ilvl w:val="0"/>
          <w:numId w:val="3"/>
        </w:numPr>
        <w:spacing w:after="100"/>
      </w:pPr>
      <w:r>
        <w:rPr>
          <w:rFonts w:ascii="Arial" w:cs="Arial" w:eastAsia="Arial" w:hAnsi="Arial"/>
          <w:sz w:val="22"/>
          <w:szCs w:val="22"/>
        </w:rPr>
        <w:t xml:space="preserve">ENA is the governance token of the Ethena ecosystem</w:t>
      </w:r>
    </w:p>
    <w:p>
      <w:pPr>
        <w:pStyle w:val="ListParagraph"/>
        <w:numPr>
          <w:ilvl w:val="0"/>
          <w:numId w:val="3"/>
        </w:numPr>
        <w:spacing w:after="100"/>
      </w:pPr>
      <w:r>
        <w:rPr>
          <w:rFonts w:ascii="Arial" w:cs="Arial" w:eastAsia="Arial" w:hAnsi="Arial"/>
          <w:sz w:val="22"/>
          <w:szCs w:val="22"/>
        </w:rPr>
        <w:t xml:space="preserve">The protocol launched the Converge Layer-1 blockchain (delayed beyond original Q2 2025 target)</w:t>
      </w:r>
    </w:p>
    <w:p>
      <w:pPr>
        <w:pStyle w:val="ListParagraph"/>
        <w:numPr>
          <w:ilvl w:val="0"/>
          <w:numId w:val="3"/>
        </w:numPr>
        <w:spacing w:after="100"/>
      </w:pPr>
      <w:r>
        <w:rPr>
          <w:rFonts w:ascii="Arial" w:cs="Arial" w:eastAsia="Arial" w:hAnsi="Arial"/>
          <w:sz w:val="22"/>
          <w:szCs w:val="22"/>
        </w:rPr>
        <w:t xml:space="preserve">StablecoinX will operate validator nodes and monitoring services for the ecosystem</w:t>
      </w:r>
    </w:p>
    <w:p>
      <w:pPr>
        <w:spacing w:after="200"/>
      </w:pPr>
    </w:p>
    <w:p>
      <w:pPr>
        <w:pStyle w:val="Heading2"/>
        <w:spacing w:before="300" w:after="150"/>
      </w:pPr>
      <w:r>
        <w:rPr>
          <w:rFonts w:ascii="Arial" w:cs="Arial" w:eastAsia="Arial" w:hAnsi="Arial"/>
          <w:b/>
          <w:bCs/>
          <w:color w:val="1B365D"/>
          <w:sz w:val="26"/>
          <w:szCs w:val="26"/>
        </w:rPr>
        <w:t xml:space="preserve">4.6 Token Purchase Agreement - Critical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INSTITUTIONAL ENTRY PRICE: $0.29 PER ENA TOKEN</w:t>
            </w:r>
          </w:p>
          <w:p>
            <w:r>
              <w:rPr>
                <w:rFonts w:ascii="Arial" w:cs="Arial" w:eastAsia="Arial" w:hAnsi="Arial"/>
                <w:color w:val="333333"/>
                <w:sz w:val="22"/>
                <w:szCs w:val="22"/>
              </w:rPr>
              <w:t xml:space="preserve">The Token Purchase Agreement dated September 5, 2025 reveals that PIPE investors acquired 914,341,825.83 ENA tokens at $0.29 per token for total consideration of $265,159,129.49. This represents a significant discount to current market prices and establishes the institutional cost basis for the Ethena ecosystem.</w:t>
            </w:r>
          </w:p>
        </w:tc>
      </w:tr>
    </w:tbl>
    <w:p>
      <w:pPr>
        <w:spacing w:after="200"/>
      </w:pPr>
    </w:p>
    <w:p>
      <w:pPr>
        <w:spacing w:after="200" w:line="276"/>
        <w:jc w:val="both"/>
      </w:pPr>
      <w:r>
        <w:rPr>
          <w:rFonts w:ascii="Arial" w:cs="Arial" w:eastAsia="Arial" w:hAnsi="Arial"/>
          <w:color w:val="333333"/>
          <w:sz w:val="22"/>
          <w:szCs w:val="22"/>
        </w:rPr>
        <w:t xml:space="preserve">The Token Purchase Agreement between Ethena OPCO LTD (Seller) and StablecoinX Assets Inc. (Purchaser, acting as administrative agent for PIPE Subscribers) contains the following material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Token Purchase Terms</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c>
          <w:tcPr>
            <w:tcW w:type="dxa" w:w="3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Sale Tokens</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914,341,825.83 ENA</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Tokens to be held at Anchorage Digital Bank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Consideration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$265,159,129.49</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Paid in USD or USDC/USDT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Price Per Token</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$0.29</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Institutional PIPE entry price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Custodian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Anchorage Digital Bank N.A.</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Federally chartered digital asset bank</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Agreement Date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September 5, 2025</w:t>
            </w:r>
          </w:p>
        </w:tc>
        <w:tc>
          <w:tcPr>
            <w:tcW w:type="dxa" w:w="3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Execution version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Governing Law</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British Virgin Islands</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BVI courts exclusive jurisdiction</w:t>
            </w:r>
          </w:p>
        </w:tc>
      </w:tr>
    </w:tbl>
    <w:p>
      <w:pPr>
        <w:spacing w:after="200"/>
      </w:pPr>
    </w:p>
    <w:p>
      <w:pPr>
        <w:pStyle w:val="Heading3"/>
        <w:spacing w:before="200" w:after="100"/>
      </w:pPr>
      <w:r>
        <w:rPr>
          <w:rFonts w:ascii="Arial" w:cs="Arial" w:eastAsia="Arial" w:hAnsi="Arial"/>
          <w:b/>
          <w:bCs/>
          <w:color w:val="333333"/>
          <w:sz w:val="24"/>
          <w:szCs w:val="24"/>
        </w:rPr>
        <w:t xml:space="preserve">4.6.1 Lock-Up Structure (48 Months)</w:t>
      </w:r>
    </w:p>
    <w:p>
      <w:pPr>
        <w:spacing w:after="200" w:line="276"/>
        <w:jc w:val="both"/>
      </w:pPr>
      <w:r>
        <w:rPr>
          <w:rFonts w:ascii="Arial" w:cs="Arial" w:eastAsia="Arial" w:hAnsi="Arial"/>
          <w:color w:val="333333"/>
          <w:sz w:val="22"/>
          <w:szCs w:val="22"/>
        </w:rPr>
        <w:t xml:space="preserve">Section 7 of the Token Purchase Agreement establishes strict transfer restrictions:</w:t>
      </w:r>
    </w:p>
    <w:p>
      <w:pPr>
        <w:pStyle w:val="ListParagraph"/>
        <w:numPr>
          <w:ilvl w:val="0"/>
          <w:numId w:val="3"/>
        </w:numPr>
        <w:spacing w:after="100"/>
      </w:pPr>
      <w:r>
        <w:rPr>
          <w:rFonts w:ascii="Arial" w:cs="Arial" w:eastAsia="Arial" w:hAnsi="Arial"/>
          <w:sz w:val="22"/>
          <w:szCs w:val="22"/>
        </w:rPr>
        <w:t xml:space="preserve">48-month contractual lock-up period from agreement date (the "Restricted Period")</w:t>
      </w:r>
    </w:p>
    <w:p>
      <w:pPr>
        <w:pStyle w:val="ListParagraph"/>
        <w:numPr>
          <w:ilvl w:val="0"/>
          <w:numId w:val="3"/>
        </w:numPr>
        <w:spacing w:after="100"/>
      </w:pPr>
      <w:r>
        <w:rPr>
          <w:rFonts w:ascii="Arial" w:cs="Arial" w:eastAsia="Arial" w:hAnsi="Arial"/>
          <w:sz w:val="22"/>
          <w:szCs w:val="22"/>
        </w:rPr>
        <w:t xml:space="preserve">First Unlock: 25% of tokens unlock on 12-month anniversary of Completion</w:t>
      </w:r>
    </w:p>
    <w:p>
      <w:pPr>
        <w:pStyle w:val="ListParagraph"/>
        <w:numPr>
          <w:ilvl w:val="0"/>
          <w:numId w:val="3"/>
        </w:numPr>
        <w:spacing w:after="100"/>
      </w:pPr>
      <w:r>
        <w:rPr>
          <w:rFonts w:ascii="Arial" w:cs="Arial" w:eastAsia="Arial" w:hAnsi="Arial"/>
          <w:sz w:val="22"/>
          <w:szCs w:val="22"/>
        </w:rPr>
        <w:t xml:space="preserve">Subsequent Unlocks: Remaining 75% unlocks in 36 equal monthly installments</w:t>
      </w:r>
    </w:p>
    <w:p>
      <w:pPr>
        <w:pStyle w:val="ListParagraph"/>
        <w:numPr>
          <w:ilvl w:val="0"/>
          <w:numId w:val="3"/>
        </w:numPr>
        <w:spacing w:after="100"/>
      </w:pPr>
      <w:r>
        <w:rPr>
          <w:rFonts w:ascii="Arial" w:cs="Arial" w:eastAsia="Arial" w:hAnsi="Arial"/>
          <w:sz w:val="22"/>
          <w:szCs w:val="22"/>
        </w:rPr>
        <w:t xml:space="preserve">Full Unlock: All tokens unlocked at 48-month anniversary</w:t>
      </w:r>
    </w:p>
    <w:p>
      <w:pPr>
        <w:pStyle w:val="ListParagraph"/>
        <w:numPr>
          <w:ilvl w:val="0"/>
          <w:numId w:val="3"/>
        </w:numPr>
        <w:spacing w:after="100"/>
      </w:pPr>
      <w:r>
        <w:rPr>
          <w:rFonts w:ascii="Arial" w:cs="Arial" w:eastAsia="Arial" w:hAnsi="Arial"/>
          <w:sz w:val="22"/>
          <w:szCs w:val="22"/>
        </w:rPr>
        <w:t xml:space="preserve">Permitted Activities During Lock-Up: Staking, governance voting, transfers to affiliates</w:t>
      </w:r>
    </w:p>
    <w:p>
      <w:pPr>
        <w:spacing w:after="200"/>
      </w:pPr>
    </w:p>
    <w:p>
      <w:pPr>
        <w:pStyle w:val="Heading3"/>
        <w:spacing w:before="200" w:after="100"/>
      </w:pPr>
      <w:r>
        <w:rPr>
          <w:rFonts w:ascii="Arial" w:cs="Arial" w:eastAsia="Arial" w:hAnsi="Arial"/>
          <w:b/>
          <w:bCs/>
          <w:color w:val="333333"/>
          <w:sz w:val="24"/>
          <w:szCs w:val="24"/>
        </w:rPr>
        <w:t xml:space="preserve">4.6.2 Carnegie Park Capital - SPAC Sponsor Confirmed</w:t>
      </w:r>
    </w:p>
    <w:p>
      <w:pPr>
        <w:spacing w:after="200" w:line="276"/>
        <w:jc w:val="both"/>
      </w:pPr>
      <w:r>
        <w:rPr>
          <w:rFonts w:ascii="Arial" w:cs="Arial" w:eastAsia="Arial" w:hAnsi="Arial"/>
          <w:color w:val="333333"/>
          <w:sz w:val="22"/>
          <w:szCs w:val="22"/>
        </w:rPr>
        <w:t xml:space="preserve">The Amended and Restated Sponsor Support Agreement (Annex I) confirms the SPAC sponsor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Sponsor Entity</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Signatory</w:t>
            </w:r>
          </w:p>
        </w:tc>
        <w:tc>
          <w:tcPr>
            <w:tcW w:type="dxa" w:w="3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Contact</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CPC Sponsor Opportunities I, LP</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Edward Tsun-Wei Chen</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tchen@carnegieparkcapital.com</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CPC Sponsor Opportunities I (Parallel), LP</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Edward Tsun-Wei Chen</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East 94th Street, New York</w:t>
            </w:r>
          </w:p>
        </w:tc>
      </w:tr>
    </w:tbl>
    <w:p>
      <w:pPr>
        <w:spacing w:after="200"/>
      </w:pPr>
    </w:p>
    <w:p>
      <w:pPr>
        <w:spacing w:after="200" w:line="276"/>
        <w:jc w:val="both"/>
      </w:pPr>
      <w:r>
        <w:rPr>
          <w:rFonts w:ascii="Arial" w:cs="Arial" w:eastAsia="Arial" w:hAnsi="Arial"/>
          <w:color w:val="333333"/>
          <w:sz w:val="22"/>
          <w:szCs w:val="22"/>
        </w:rPr>
        <w:t xml:space="preserve">Carnegie Park Capital, led by Edward Chen, serves as the primary sponsor of the TLGY SPAC. The sponsor entities hold 5,449,700 Founder Shares and 11,259,500 Private Placement Warrants. Upon closing, sponsors receive Retained Shares equal to 3% of total Pubco Class A Stock outstanding.</w:t>
      </w:r>
    </w:p>
    <w:p>
      <w:pPr>
        <w:spacing w:after="200"/>
      </w:pPr>
    </w:p>
    <w:p>
      <w:pPr>
        <w:pStyle w:val="Heading3"/>
        <w:spacing w:before="200" w:after="100"/>
      </w:pPr>
      <w:r>
        <w:rPr>
          <w:rFonts w:ascii="Arial" w:cs="Arial" w:eastAsia="Arial" w:hAnsi="Arial"/>
          <w:b/>
          <w:bCs/>
          <w:color w:val="333333"/>
          <w:sz w:val="24"/>
          <w:szCs w:val="24"/>
        </w:rPr>
        <w:t xml:space="preserve">4.6.3 Fairness Opinion Valuation</w:t>
      </w:r>
    </w:p>
    <w:p>
      <w:pPr>
        <w:spacing w:after="200" w:line="276"/>
        <w:jc w:val="both"/>
      </w:pPr>
      <w:r>
        <w:rPr>
          <w:rFonts w:ascii="Arial" w:cs="Arial" w:eastAsia="Arial" w:hAnsi="Arial"/>
          <w:color w:val="333333"/>
          <w:sz w:val="22"/>
          <w:szCs w:val="22"/>
        </w:rPr>
        <w:t xml:space="preserve">Scalar LLC provided a fairness opinion (Annex M) dated July 20, 2025, establishing key valuation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Fairness Opinion Metrics</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c>
          <w:tcPr>
            <w:tcW w:type="dxa" w:w="3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Source</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Trust Account Balance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$6,051,707</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As of June 30, 2025</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Public Shares Outstanding</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489,887</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Subject to redemption</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Implied Value Per Share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$12.35</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Trust / Shares calculation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Opinion Provider</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Scalar, LLC</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 financial advisor</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Opinion Date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July 20, 2025</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Pre-agreement</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SIGNIFICANCE FOR YYAI THESIS</w:t>
            </w:r>
          </w:p>
          <w:p>
            <w:r>
              <w:rPr>
                <w:rFonts w:ascii="Arial" w:cs="Arial" w:eastAsia="Arial" w:hAnsi="Arial"/>
                <w:color w:val="333333"/>
                <w:sz w:val="22"/>
                <w:szCs w:val="22"/>
              </w:rPr>
              <w:t xml:space="preserve">The $0.29 institutional entry price for ENA tokens establishes a clear cost basis for sophisticated PIPE investors. If these same institutions participated in YYAI's December 2025 placement at $1.02 (a 70% discount to cash), they are applying the same discounted entry strategy across the Ethena ecosystem. Carnegie Park Capital's confirmed role as SPAC sponsor provides a direct link to the institutional capital backing both StablecoinX and potentially YYAI.</w:t>
            </w:r>
          </w:p>
        </w:tc>
      </w:tr>
    </w:tbl>
    <w:p>
      <w:r>
        <w:br w:type="page"/>
      </w:r>
    </w:p>
    <w:p>
      <w:pPr>
        <w:pStyle w:val="Heading1"/>
        <w:spacing w:before="400" w:after="200"/>
      </w:pPr>
      <w:r>
        <w:rPr>
          <w:rFonts w:ascii="Arial" w:cs="Arial" w:eastAsia="Arial" w:hAnsi="Arial"/>
          <w:b/>
          <w:bCs/>
          <w:color w:val="1B365D"/>
          <w:sz w:val="32"/>
          <w:szCs w:val="32"/>
        </w:rPr>
        <w:t xml:space="preserve">5. Ecosystem Integration Analysis</w:t>
      </w:r>
    </w:p>
    <w:p>
      <w:pPr>
        <w:pStyle w:val="Heading2"/>
        <w:spacing w:before="300" w:after="150"/>
      </w:pPr>
      <w:r>
        <w:rPr>
          <w:rFonts w:ascii="Arial" w:cs="Arial" w:eastAsia="Arial" w:hAnsi="Arial"/>
          <w:b/>
          <w:bCs/>
          <w:color w:val="1B365D"/>
          <w:sz w:val="26"/>
          <w:szCs w:val="26"/>
        </w:rPr>
        <w:t xml:space="preserve">5.1 Potential Integration Pathways</w:t>
      </w:r>
    </w:p>
    <w:p>
      <w:pPr>
        <w:spacing w:after="200" w:line="276"/>
        <w:jc w:val="both"/>
      </w:pPr>
      <w:r>
        <w:rPr>
          <w:rFonts w:ascii="Arial" w:cs="Arial" w:eastAsia="Arial" w:hAnsi="Arial"/>
          <w:color w:val="333333"/>
          <w:sz w:val="22"/>
          <w:szCs w:val="22"/>
        </w:rPr>
        <w:t xml:space="preserve">While no formal partnership between YYAI and StablecoinX has been announced, Tarala's board position creates natural pathways for ecosystem integration. The following scenarios represent logical business combinations based on each company's disclosed capabilities:</w:t>
      </w:r>
    </w:p>
    <w:p>
      <w:pPr>
        <w:pStyle w:val="Heading3"/>
        <w:spacing w:before="200" w:after="100"/>
      </w:pPr>
      <w:r>
        <w:rPr>
          <w:rFonts w:ascii="Arial" w:cs="Arial" w:eastAsia="Arial" w:hAnsi="Arial"/>
          <w:b/>
          <w:bCs/>
          <w:color w:val="333333"/>
          <w:sz w:val="24"/>
          <w:szCs w:val="24"/>
        </w:rPr>
        <w:t xml:space="preserve">5.1.1 JuCoin Exchange × USDe/ENA Listing (High Probability)</w:t>
      </w:r>
    </w:p>
    <w:p>
      <w:pPr>
        <w:spacing w:after="200" w:line="276"/>
        <w:jc w:val="both"/>
      </w:pPr>
      <w:r>
        <w:rPr>
          <w:rFonts w:ascii="Arial" w:cs="Arial" w:eastAsia="Arial" w:hAnsi="Arial"/>
          <w:color w:val="333333"/>
          <w:sz w:val="22"/>
          <w:szCs w:val="22"/>
        </w:rPr>
        <w:t xml:space="preserve">The most direct integration pathway involves JuCoin Exchange listing USDe (Ethena's stablecoin) and ENA (governance token) as trading pairs: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Integration Element</w:t>
            </w:r>
          </w:p>
        </w:tc>
        <w:tc>
          <w:tcPr>
            <w:tcW w:type="dxa" w:w="234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YYAI Asset</w:t>
            </w:r>
          </w:p>
        </w:tc>
        <w:tc>
          <w:tcPr>
            <w:tcW w:type="dxa" w:w="234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Ethena Asset</w:t>
            </w:r>
          </w:p>
        </w:tc>
        <w:tc>
          <w:tcPr>
            <w:tcW w:type="dxa" w:w="234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Synergy</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Trading Infrastructure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JuCoin Exchange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USDe Stablecoin</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Stablecoin trading pairs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Token Listing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JuCoin Exchange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ENA Token</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Governance token liquidity</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User Base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JV Partner's "millions of users"</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Ethena ecosystem</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Cross-platform growth</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Revenue Model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Trading fees (0.1% typical)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Token velocity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Mutual value creation</w:t>
            </w:r>
          </w:p>
        </w:tc>
      </w:tr>
    </w:tbl>
    <w:p>
      <w:pPr>
        <w:spacing w:after="150"/>
      </w:pPr>
    </w:p>
    <w:p>
      <w:pPr>
        <w:spacing w:after="200" w:line="276"/>
        <w:jc w:val="both"/>
      </w:pPr>
      <w:r>
        <w:rPr>
          <w:rFonts w:ascii="Arial" w:cs="Arial" w:eastAsia="Arial" w:hAnsi="Arial"/>
          <w:color w:val="333333"/>
          <w:sz w:val="22"/>
          <w:szCs w:val="22"/>
        </w:rPr>
        <w:t xml:space="preserve">Revenue Potential: Assuming $100 million daily trading volume at 0.1% fee = $36.5 million annual revenue. YYAI's 51% stake = $18.6 million additional annual revenue contribution.</w:t>
      </w:r>
    </w:p>
    <w:p>
      <w:pPr>
        <w:pStyle w:val="Heading3"/>
        <w:spacing w:before="200" w:after="100"/>
      </w:pPr>
      <w:r>
        <w:rPr>
          <w:rFonts w:ascii="Arial" w:cs="Arial" w:eastAsia="Arial" w:hAnsi="Arial"/>
          <w:b/>
          <w:bCs/>
          <w:color w:val="333333"/>
          <w:sz w:val="24"/>
          <w:szCs w:val="24"/>
        </w:rPr>
        <w:t xml:space="preserve">5.1.2 Aberfeldy × Validator Infrastructure (Medium Probability)</w:t>
      </w:r>
    </w:p>
    <w:p>
      <w:pPr>
        <w:spacing w:after="200" w:line="276"/>
        <w:jc w:val="both"/>
      </w:pPr>
      <w:r>
        <w:rPr>
          <w:rFonts w:ascii="Arial" w:cs="Arial" w:eastAsia="Arial" w:hAnsi="Arial"/>
          <w:color w:val="333333"/>
          <w:sz w:val="22"/>
          <w:szCs w:val="22"/>
        </w:rPr>
        <w:t xml:space="preserve">StablecoinX requires physical infrastructure for validator node operations. Aberfeldy's Malaysia data centers could provide:</w:t>
      </w:r>
    </w:p>
    <w:p>
      <w:pPr>
        <w:pStyle w:val="ListParagraph"/>
        <w:numPr>
          <w:ilvl w:val="0"/>
          <w:numId w:val="3"/>
        </w:numPr>
        <w:spacing w:after="100"/>
      </w:pPr>
      <w:r>
        <w:rPr>
          <w:rFonts w:ascii="Arial" w:cs="Arial" w:eastAsia="Arial" w:hAnsi="Arial"/>
          <w:sz w:val="22"/>
          <w:szCs w:val="22"/>
        </w:rPr>
        <w:t xml:space="preserve">Server capacity for Ethereum validator nodes</w:t>
      </w:r>
    </w:p>
    <w:p>
      <w:pPr>
        <w:pStyle w:val="ListParagraph"/>
        <w:numPr>
          <w:ilvl w:val="0"/>
          <w:numId w:val="3"/>
        </w:numPr>
        <w:spacing w:after="100"/>
      </w:pPr>
      <w:r>
        <w:rPr>
          <w:rFonts w:ascii="Arial" w:cs="Arial" w:eastAsia="Arial" w:hAnsi="Arial"/>
          <w:sz w:val="22"/>
          <w:szCs w:val="22"/>
        </w:rPr>
        <w:t xml:space="preserve">Geographic diversification (Asia-Pacific region)</w:t>
      </w:r>
    </w:p>
    <w:p>
      <w:pPr>
        <w:pStyle w:val="ListParagraph"/>
        <w:numPr>
          <w:ilvl w:val="0"/>
          <w:numId w:val="3"/>
        </w:numPr>
        <w:spacing w:after="100"/>
      </w:pPr>
      <w:r>
        <w:rPr>
          <w:rFonts w:ascii="Arial" w:cs="Arial" w:eastAsia="Arial" w:hAnsi="Arial"/>
          <w:sz w:val="22"/>
          <w:szCs w:val="22"/>
        </w:rPr>
        <w:t xml:space="preserve">Infrastructure for Converge Layer-1 blockchain when launched</w:t>
      </w:r>
    </w:p>
    <w:p>
      <w:pPr>
        <w:pStyle w:val="ListParagraph"/>
        <w:numPr>
          <w:ilvl w:val="0"/>
          <w:numId w:val="3"/>
        </w:numPr>
        <w:spacing w:after="100"/>
      </w:pPr>
      <w:r>
        <w:rPr>
          <w:rFonts w:ascii="Arial" w:cs="Arial" w:eastAsia="Arial" w:hAnsi="Arial"/>
          <w:sz w:val="22"/>
          <w:szCs w:val="22"/>
        </w:rPr>
        <w:t xml:space="preserve">Monitoring and verification services</w:t>
      </w:r>
    </w:p>
    <w:p>
      <w:pPr>
        <w:pStyle w:val="Heading3"/>
        <w:spacing w:before="200" w:after="100"/>
      </w:pPr>
      <w:r>
        <w:rPr>
          <w:rFonts w:ascii="Arial" w:cs="Arial" w:eastAsia="Arial" w:hAnsi="Arial"/>
          <w:b/>
          <w:bCs/>
          <w:color w:val="333333"/>
          <w:sz w:val="24"/>
          <w:szCs w:val="24"/>
        </w:rPr>
        <w:t xml:space="preserve">5.1.3 Strategic ENA Investment (Speculative)</w:t>
      </w:r>
    </w:p>
    <w:p>
      <w:pPr>
        <w:spacing w:after="200" w:line="276"/>
        <w:jc w:val="both"/>
      </w:pPr>
      <w:r>
        <w:rPr>
          <w:rFonts w:ascii="Arial" w:cs="Arial" w:eastAsia="Arial" w:hAnsi="Arial"/>
          <w:color w:val="333333"/>
          <w:sz w:val="22"/>
          <w:szCs w:val="22"/>
        </w:rPr>
        <w:t xml:space="preserve">YYAI could deploy a portion of its $132 million cash position to acquire ENA tokens, potentially at a discount similar to PIPE investors: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1500"/>
        <w:gridCol w:w="2000"/>
        <w:gridCol w:w="1500"/>
        <w:gridCol w:w="1060"/>
      </w:tblGrid>
      <w:tr>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Scenario</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Investment</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Assumed Discount</w:t>
            </w:r>
          </w:p>
        </w:tc>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Token Price Rise</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Position Value</w:t>
            </w:r>
          </w:p>
        </w:tc>
        <w:tc>
          <w:tcPr>
            <w:tcW w:type="dxa" w:w="10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Gain</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Conservative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$50 million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$0.35 → $0.50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$71 million</w:t>
            </w:r>
          </w:p>
        </w:tc>
        <w:tc>
          <w:tcPr>
            <w:tcW w:type="dxa" w:w="1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$21 million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Base Case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$75 million</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$0.35 → $0.75</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$161 million</w:t>
            </w:r>
          </w:p>
        </w:tc>
        <w:tc>
          <w:tcPr>
            <w:tcW w:type="dxa" w:w="1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$86 million</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Aggressive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$100 million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$0.35 → $1.00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$286 million</w:t>
            </w:r>
          </w:p>
        </w:tc>
        <w:tc>
          <w:tcPr>
            <w:tcW w:type="dxa" w:w="1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$186 million</w:t>
            </w:r>
          </w:p>
        </w:tc>
      </w:tr>
    </w:tbl>
    <w:p>
      <w:pPr>
        <w:spacing w:after="200"/>
      </w:pPr>
    </w:p>
    <w:p>
      <w:pPr>
        <w:pStyle w:val="Heading2"/>
        <w:spacing w:before="300" w:after="150"/>
      </w:pPr>
      <w:r>
        <w:rPr>
          <w:rFonts w:ascii="Arial" w:cs="Arial" w:eastAsia="Arial" w:hAnsi="Arial"/>
          <w:b/>
          <w:bCs/>
          <w:color w:val="1B365D"/>
          <w:sz w:val="26"/>
          <w:szCs w:val="26"/>
        </w:rPr>
        <w:t xml:space="preserve">5.2 Important Caveats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NO ANNOUNCED PARTNERSHIP</w:t>
            </w:r>
          </w:p>
          <w:p>
            <w:r>
              <w:rPr>
                <w:rFonts w:ascii="Arial" w:cs="Arial" w:eastAsia="Arial" w:hAnsi="Arial"/>
                <w:color w:val="333333"/>
                <w:sz w:val="22"/>
                <w:szCs w:val="22"/>
              </w:rPr>
              <w:t xml:space="preserve">As of this report date, no formal partnership, joint venture, or strategic agreement has been announced between YYAI and StablecoinX or any Ethena-affiliated entity. The integration scenarios above are analytical projections based on disclosed capabilities and logical business combinations. Investors should not assume these integrations will occur.</w:t>
            </w:r>
          </w:p>
        </w:tc>
      </w:tr>
    </w:tbl>
    <w:p>
      <w:pPr>
        <w:spacing w:after="200"/>
      </w:pPr>
    </w:p>
    <w:p>
      <w:pPr>
        <w:spacing w:after="200" w:line="276"/>
        <w:jc w:val="both"/>
      </w:pPr>
      <w:r>
        <w:rPr>
          <w:rFonts w:ascii="Arial" w:cs="Arial" w:eastAsia="Arial" w:hAnsi="Arial"/>
          <w:color w:val="333333"/>
          <w:sz w:val="22"/>
          <w:szCs w:val="22"/>
        </w:rPr>
        <w:t xml:space="preserve">Key limitations in the StablecoinX S-4 filing:</w:t>
      </w:r>
    </w:p>
    <w:p>
      <w:pPr>
        <w:pStyle w:val="ListParagraph"/>
        <w:numPr>
          <w:ilvl w:val="0"/>
          <w:numId w:val="3"/>
        </w:numPr>
        <w:spacing w:after="100"/>
      </w:pPr>
      <w:r>
        <w:rPr>
          <w:rFonts w:ascii="Arial" w:cs="Arial" w:eastAsia="Arial" w:hAnsi="Arial"/>
          <w:sz w:val="22"/>
          <w:szCs w:val="22"/>
        </w:rPr>
        <w:t xml:space="preserve">YYAI is not mentioned in the "Business of SC Assets" section</w:t>
      </w:r>
    </w:p>
    <w:p>
      <w:pPr>
        <w:pStyle w:val="ListParagraph"/>
        <w:numPr>
          <w:ilvl w:val="0"/>
          <w:numId w:val="3"/>
        </w:numPr>
        <w:spacing w:after="100"/>
      </w:pPr>
      <w:r>
        <w:rPr>
          <w:rFonts w:ascii="Arial" w:cs="Arial" w:eastAsia="Arial" w:hAnsi="Arial"/>
          <w:sz w:val="22"/>
          <w:szCs w:val="22"/>
        </w:rPr>
        <w:t xml:space="preserve">JuCoin is not mentioned as a strategic partner</w:t>
      </w:r>
    </w:p>
    <w:p>
      <w:pPr>
        <w:pStyle w:val="ListParagraph"/>
        <w:numPr>
          <w:ilvl w:val="0"/>
          <w:numId w:val="3"/>
        </w:numPr>
        <w:spacing w:after="100"/>
      </w:pPr>
      <w:r>
        <w:rPr>
          <w:rFonts w:ascii="Arial" w:cs="Arial" w:eastAsia="Arial" w:hAnsi="Arial"/>
          <w:sz w:val="22"/>
          <w:szCs w:val="22"/>
        </w:rPr>
        <w:t xml:space="preserve">Aberfeldy is not mentioned in infrastructure discussions</w:t>
      </w:r>
    </w:p>
    <w:p>
      <w:pPr>
        <w:pStyle w:val="ListParagraph"/>
        <w:numPr>
          <w:ilvl w:val="0"/>
          <w:numId w:val="3"/>
        </w:numPr>
        <w:spacing w:after="100"/>
      </w:pPr>
      <w:r>
        <w:rPr>
          <w:rFonts w:ascii="Arial" w:cs="Arial" w:eastAsia="Arial" w:hAnsi="Arial"/>
          <w:sz w:val="22"/>
          <w:szCs w:val="22"/>
        </w:rPr>
        <w:t xml:space="preserve">Tarala owns zero equity in StablecoinX (serves as independent director only)</w:t>
      </w:r>
    </w:p>
    <w:p>
      <w:pPr>
        <w:spacing w:after="200" w:line="276"/>
        <w:jc w:val="both"/>
      </w:pPr>
      <w:r>
        <w:rPr>
          <w:rFonts w:ascii="Arial" w:cs="Arial" w:eastAsia="Arial" w:hAnsi="Arial"/>
          <w:color w:val="333333"/>
          <w:sz w:val="22"/>
          <w:szCs w:val="22"/>
        </w:rPr>
        <w:t xml:space="preserve">The connection mechanism operates solely through Tarala's board seat, which creates SEC EDGAR cross-filing requirements but does not guarantee any commercial relationship.</w:t>
      </w:r>
    </w:p>
    <w:p>
      <w:r>
        <w:br w:type="page"/>
      </w:r>
    </w:p>
    <w:p>
      <w:pPr>
        <w:pStyle w:val="Heading1"/>
        <w:spacing w:before="400" w:after="200"/>
      </w:pPr>
      <w:r>
        <w:rPr>
          <w:rFonts w:ascii="Arial" w:cs="Arial" w:eastAsia="Arial" w:hAnsi="Arial"/>
          <w:b/>
          <w:bCs/>
          <w:color w:val="1B365D"/>
          <w:sz w:val="32"/>
          <w:szCs w:val="32"/>
        </w:rPr>
        <w:t xml:space="preserve">6. Ownership Structure Analysis</w:t>
      </w:r>
    </w:p>
    <w:p>
      <w:pPr>
        <w:pStyle w:val="Heading2"/>
        <w:spacing w:before="300" w:after="150"/>
      </w:pPr>
      <w:r>
        <w:rPr>
          <w:rFonts w:ascii="Arial" w:cs="Arial" w:eastAsia="Arial" w:hAnsi="Arial"/>
          <w:b/>
          <w:bCs/>
          <w:color w:val="1B365D"/>
          <w:sz w:val="26"/>
          <w:szCs w:val="26"/>
        </w:rPr>
        <w:t xml:space="preserve">6.1 December 2025 Share Placement</w:t>
      </w:r>
    </w:p>
    <w:p>
      <w:pPr>
        <w:spacing w:after="200" w:line="276"/>
        <w:jc w:val="both"/>
      </w:pPr>
      <w:r>
        <w:rPr>
          <w:rFonts w:ascii="Arial" w:cs="Arial" w:eastAsia="Arial" w:hAnsi="Arial"/>
          <w:color w:val="333333"/>
          <w:sz w:val="22"/>
          <w:szCs w:val="22"/>
        </w:rPr>
        <w:t xml:space="preserve">The December 22, 2025 registered direct offering represents a significant ownership change requiring detailed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Placement Details</w:t>
            </w:r>
          </w:p>
        </w:tc>
        <w:tc>
          <w:tcPr>
            <w:tcW w:type="dxa" w:w="4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Shares Issued</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15,382,378</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Issue Price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$1.02 per share</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Gross Proceeds</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$15,689,990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Net Proceeds (after fees)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$14,773,528</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Placement Agent</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A.G.P./Alliance Global Partners</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Placement Fee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 ($784,501)</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Number of Investors</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Nine (undisclosed)</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Closing Date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December 22, 2025</w:t>
            </w:r>
          </w:p>
        </w:tc>
      </w:tr>
    </w:tbl>
    <w:p>
      <w:pPr>
        <w:spacing w:after="200"/>
      </w:pPr>
    </w:p>
    <w:p>
      <w:pPr>
        <w:pStyle w:val="Heading3"/>
        <w:spacing w:before="200" w:after="100"/>
      </w:pPr>
      <w:r>
        <w:rPr>
          <w:rFonts w:ascii="Arial" w:cs="Arial" w:eastAsia="Arial" w:hAnsi="Arial"/>
          <w:b/>
          <w:bCs/>
          <w:color w:val="333333"/>
          <w:sz w:val="24"/>
          <w:szCs w:val="24"/>
        </w:rPr>
        <w:t xml:space="preserve">6.1.1 Investor Profile Analysis</w:t>
      </w:r>
    </w:p>
    <w:p>
      <w:pPr>
        <w:spacing w:after="200" w:line="276"/>
        <w:jc w:val="both"/>
      </w:pPr>
      <w:r>
        <w:rPr>
          <w:rFonts w:ascii="Arial" w:cs="Arial" w:eastAsia="Arial" w:hAnsi="Arial"/>
          <w:color w:val="333333"/>
          <w:sz w:val="22"/>
          <w:szCs w:val="22"/>
        </w:rPr>
        <w:t xml:space="preserve">The prospectus supplement describes the buyers only as "certain accredited investors" with identities contained in an unpublished securities purchase agreement. Key observations:</w:t>
      </w:r>
    </w:p>
    <w:p>
      <w:pPr>
        <w:pStyle w:val="ListParagraph"/>
        <w:numPr>
          <w:ilvl w:val="0"/>
          <w:numId w:val="3"/>
        </w:numPr>
        <w:spacing w:after="100"/>
      </w:pPr>
      <w:r>
        <w:rPr>
          <w:rFonts w:ascii="Arial" w:cs="Arial" w:eastAsia="Arial" w:hAnsi="Arial"/>
          <w:sz w:val="22"/>
          <w:szCs w:val="22"/>
        </w:rPr>
        <w:t xml:space="preserve">Nine investors at $15.69 million = approximately $1.74 million average investment per investor</w:t>
      </w:r>
    </w:p>
    <w:p>
      <w:pPr>
        <w:pStyle w:val="ListParagraph"/>
        <w:numPr>
          <w:ilvl w:val="0"/>
          <w:numId w:val="3"/>
        </w:numPr>
        <w:spacing w:after="100"/>
      </w:pPr>
      <w:r>
        <w:rPr>
          <w:rFonts w:ascii="Arial" w:cs="Arial" w:eastAsia="Arial" w:hAnsi="Arial"/>
          <w:sz w:val="22"/>
          <w:szCs w:val="22"/>
        </w:rPr>
        <w:t xml:space="preserve">Investment size suggests institutional rather than retail investors</w:t>
      </w:r>
    </w:p>
    <w:p>
      <w:pPr>
        <w:pStyle w:val="ListParagraph"/>
        <w:numPr>
          <w:ilvl w:val="0"/>
          <w:numId w:val="3"/>
        </w:numPr>
        <w:spacing w:after="100"/>
      </w:pPr>
      <w:r>
        <w:rPr>
          <w:rFonts w:ascii="Arial" w:cs="Arial" w:eastAsia="Arial" w:hAnsi="Arial"/>
          <w:sz w:val="22"/>
          <w:szCs w:val="22"/>
        </w:rPr>
        <w:t xml:space="preserve">70% discount to cash value ($1.02 vs. $3.47) indicates either strategic relationship or information asymmetry</w:t>
      </w:r>
    </w:p>
    <w:p>
      <w:pPr>
        <w:pStyle w:val="ListParagraph"/>
        <w:numPr>
          <w:ilvl w:val="0"/>
          <w:numId w:val="3"/>
        </w:numPr>
        <w:spacing w:after="100"/>
      </w:pPr>
      <w:r>
        <w:rPr>
          <w:rFonts w:ascii="Arial" w:cs="Arial" w:eastAsia="Arial" w:hAnsi="Arial"/>
          <w:sz w:val="22"/>
          <w:szCs w:val="22"/>
        </w:rPr>
        <w:t xml:space="preserve">Non-disclosure of identities may indicate desire to avoid market attention or related-party scrutiny</w:t>
      </w:r>
    </w:p>
    <w:p>
      <w:pPr>
        <w:pStyle w:val="Heading3"/>
        <w:spacing w:before="200" w:after="100"/>
      </w:pPr>
      <w:r>
        <w:rPr>
          <w:rFonts w:ascii="Arial" w:cs="Arial" w:eastAsia="Arial" w:hAnsi="Arial"/>
          <w:b/>
          <w:bCs/>
          <w:color w:val="333333"/>
          <w:sz w:val="24"/>
          <w:szCs w:val="24"/>
        </w:rPr>
        <w:t xml:space="preserve">6.1.2 Disclosure Timeline</w:t>
      </w:r>
    </w:p>
    <w:p>
      <w:pPr>
        <w:spacing w:after="200" w:line="276"/>
        <w:jc w:val="both"/>
      </w:pPr>
      <w:r>
        <w:rPr>
          <w:rFonts w:ascii="Arial" w:cs="Arial" w:eastAsia="Arial" w:hAnsi="Arial"/>
          <w:color w:val="333333"/>
          <w:sz w:val="22"/>
          <w:szCs w:val="22"/>
        </w:rPr>
        <w:t xml:space="preserve">SEC disclosure requirements may reveal investor identities: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2200"/>
        <w:gridCol w:w="1660"/>
      </w:tblGrid>
      <w:tr>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Filing Type</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Threshold</w:t>
            </w:r>
          </w:p>
        </w:tc>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Deadline</w:t>
            </w:r>
          </w:p>
        </w:tc>
        <w:tc>
          <w:tcPr>
            <w:tcW w:type="dxa" w:w="16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Status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13D</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 beneficial ownership (activist)</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 days after crossing</w:t>
            </w:r>
          </w:p>
        </w:tc>
        <w:tc>
          <w:tcPr>
            <w:tcW w:type="dxa" w:w="1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None filed as of Feb 18</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13G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 beneficial ownership (passive)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45 days after year-end</w:t>
            </w:r>
          </w:p>
        </w:tc>
        <w:tc>
          <w:tcPr>
            <w:tcW w:type="dxa" w:w="1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Due Feb 14, 2026 - CHECK EDGAR</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4</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Insider transaction</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 business days</w:t>
            </w:r>
          </w:p>
        </w:tc>
        <w:tc>
          <w:tcPr>
            <w:tcW w:type="dxa" w:w="1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N/A unless insider buyer</w:t>
            </w:r>
          </w:p>
        </w:tc>
      </w:tr>
    </w:tbl>
    <w:p>
      <w:pPr>
        <w:spacing w:after="200"/>
      </w:pPr>
    </w:p>
    <w:p>
      <w:pPr>
        <w:spacing w:after="200" w:line="276"/>
        <w:jc w:val="both"/>
      </w:pPr>
      <w:r>
        <w:rPr>
          <w:rFonts w:ascii="Arial" w:cs="Arial" w:eastAsia="Arial" w:hAnsi="Arial"/>
          <w:color w:val="333333"/>
          <w:sz w:val="22"/>
          <w:szCs w:val="22"/>
        </w:rPr>
        <w:t xml:space="preserve">If any of the nine investors acquired more than 5% individually (approximately 2.1 million shares at 42 million outstanding), they would be required to file beneficial ownership reports. The average purchase per investor (1.71 million shares) falls just below this threshold, suggesting possible intentional structuring to avoid immediate disclosure.</w:t>
      </w:r>
    </w:p>
    <w:p>
      <w:pPr>
        <w:pStyle w:val="Heading2"/>
        <w:spacing w:before="300" w:after="150"/>
      </w:pPr>
      <w:r>
        <w:rPr>
          <w:rFonts w:ascii="Arial" w:cs="Arial" w:eastAsia="Arial" w:hAnsi="Arial"/>
          <w:b/>
          <w:bCs/>
          <w:color w:val="1B365D"/>
          <w:sz w:val="26"/>
          <w:szCs w:val="26"/>
        </w:rPr>
        <w:t xml:space="preserve">6.2 Chairman Zhou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Zhou Ownership Details</w:t>
            </w:r>
          </w:p>
        </w:tc>
        <w:tc>
          <w:tcPr>
            <w:tcW w:type="dxa" w:w="4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Shares Owned</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20,300,000 (approx.)</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Ownership Percentage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~48%</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Investment</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$7,200,000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Average Cost Basis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$1.37 per share</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Current Value (at $1.08)</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$21,924,000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Unrealized Gain</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$14,724,000 (204%)</w:t>
            </w:r>
          </w:p>
        </w:tc>
      </w:tr>
      <w:tr>
        <w:tc>
          <w:tcPr>
            <w:tcW w:type="dxa" w:w="5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Source of Shares</w:t>
            </w:r>
          </w:p>
        </w:tc>
        <w:tc>
          <w:tcPr>
            <w:tcW w:type="dxa" w:w="4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Share exchange (Nov 2024) for YYEM ownership</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INSIDER ALIGNMENT</w:t>
            </w:r>
          </w:p>
          <w:p>
            <w:r>
              <w:rPr>
                <w:rFonts w:ascii="Arial" w:cs="Arial" w:eastAsia="Arial" w:hAnsi="Arial"/>
                <w:color w:val="333333"/>
                <w:sz w:val="22"/>
                <w:szCs w:val="22"/>
              </w:rPr>
              <w:t xml:space="preserve">Chairman Zhou's average cost basis of $1.37 exceeds the current market price of $1.08. While his position shows substantial unrealized gains due to pre-acquisition YYEM value, he shares downside risk with current shareholders. His 48% ownership creates strong alignment with minority shareholders.</w:t>
            </w:r>
          </w:p>
        </w:tc>
      </w:tr>
    </w:tbl>
    <w:p>
      <w:pPr>
        <w:spacing w:after="200"/>
      </w:pPr>
    </w:p>
    <w:p>
      <w:pPr>
        <w:pStyle w:val="Heading2"/>
        <w:spacing w:before="300" w:after="150"/>
      </w:pPr>
      <w:r>
        <w:rPr>
          <w:rFonts w:ascii="Arial" w:cs="Arial" w:eastAsia="Arial" w:hAnsi="Arial"/>
          <w:b/>
          <w:bCs/>
          <w:color w:val="1B365D"/>
          <w:sz w:val="26"/>
          <w:szCs w:val="26"/>
        </w:rPr>
        <w:t xml:space="preserve">6.3 Current Ownership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500"/>
        <w:gridCol w:w="3260"/>
      </w:tblGrid>
      <w:tr>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Shareholder Category</w:t>
            </w:r>
          </w:p>
        </w:tc>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Shares (Est.)</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Percentage</w:t>
            </w:r>
          </w:p>
        </w:tc>
        <w:tc>
          <w:tcPr>
            <w:tcW w:type="dxa" w:w="32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Notes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Hongyu Zhou (Chairman)</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20,300,000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48.3%</w:t>
            </w:r>
          </w:p>
        </w:tc>
        <w:tc>
          <w:tcPr>
            <w:tcW w:type="dxa" w:w="3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Controlling shareholder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December 2025 Placement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15,382,378</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36.6%</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Nine undisclosed investors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Public Float</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~6,300,000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15.0%</w:t>
            </w:r>
          </w:p>
        </w:tc>
        <w:tc>
          <w:tcPr>
            <w:tcW w:type="dxa" w:w="3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Freely tradeable shares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Management/Insiders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&lt;500,000</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&lt;1.2%</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Tarala, Ji, directors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Outstanding</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~42,000,000</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100%</w:t>
            </w:r>
          </w:p>
        </w:tc>
        <w:tc>
          <w:tcPr>
            <w:tcW w:type="dxa" w:w="32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Post-placement estimate</w:t>
            </w:r>
          </w:p>
        </w:tc>
      </w:tr>
    </w:tbl>
    <w:p>
      <w:r>
        <w:br w:type="page"/>
      </w:r>
    </w:p>
    <w:p>
      <w:pPr>
        <w:pStyle w:val="Heading1"/>
        <w:spacing w:before="400" w:after="200"/>
      </w:pPr>
      <w:r>
        <w:rPr>
          <w:rFonts w:ascii="Arial" w:cs="Arial" w:eastAsia="Arial" w:hAnsi="Arial"/>
          <w:b/>
          <w:bCs/>
          <w:color w:val="1B365D"/>
          <w:sz w:val="32"/>
          <w:szCs w:val="32"/>
        </w:rPr>
        <w:t xml:space="preserve">7. Valuation Analysis</w:t>
      </w:r>
    </w:p>
    <w:p>
      <w:pPr>
        <w:pStyle w:val="Heading2"/>
        <w:spacing w:before="300" w:after="150"/>
      </w:pPr>
      <w:r>
        <w:rPr>
          <w:rFonts w:ascii="Arial" w:cs="Arial" w:eastAsia="Arial" w:hAnsi="Arial"/>
          <w:b/>
          <w:bCs/>
          <w:color w:val="1B365D"/>
          <w:sz w:val="26"/>
          <w:szCs w:val="26"/>
        </w:rPr>
        <w:t xml:space="preserve">7.1 Sum-of-Parts Valuation</w:t>
      </w:r>
    </w:p>
    <w:p>
      <w:pPr>
        <w:spacing w:after="200" w:line="276"/>
        <w:jc w:val="both"/>
      </w:pPr>
      <w:r>
        <w:rPr>
          <w:rFonts w:ascii="Arial" w:cs="Arial" w:eastAsia="Arial" w:hAnsi="Arial"/>
          <w:color w:val="333333"/>
          <w:sz w:val="22"/>
          <w:szCs w:val="22"/>
        </w:rPr>
        <w:t xml:space="preserve">A sum-of-parts analysis assigns value to each of YYAI's identifiable assets: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200"/>
        <w:gridCol w:w="2000"/>
        <w:gridCol w:w="1560"/>
      </w:tblGrid>
      <w:tr>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Asset</w:t>
            </w:r>
          </w:p>
        </w:tc>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Gross Value</w:t>
            </w:r>
          </w:p>
        </w:tc>
        <w:tc>
          <w:tcPr>
            <w:tcW w:type="dxa" w:w="1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Haircut</w:t>
            </w:r>
          </w:p>
        </w:tc>
        <w:tc>
          <w:tcPr>
            <w:tcW w:type="dxa" w:w="2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Adjusted Value</w:t>
            </w:r>
          </w:p>
        </w:tc>
        <w:tc>
          <w:tcPr>
            <w:tcW w:type="dxa" w:w="1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Per Share</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Cash and Equivalents</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$132,000,000</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$132,000,000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$3.47</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JuCoin JV (51% of $500M)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$255,000,000</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$127,500,000</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$3.36</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Aberfeldy Acquisition</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$140,000,000</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$98,000,000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$2.58</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IP Licensing Business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$36,000,000</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$18,000,000</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$0.47</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Less: Liabilities</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($15,000,000)</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($15,000,000)</w:t>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($0.39)</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Less: Operating Burn (2yr)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($20,000,000)</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($20,000,000)</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($0.53)</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c>
          <w:tcPr>
            <w:tcW w:type="dxa" w:w="1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INTRINSIC VALUE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$340,500,000</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$8.96</w:t>
            </w:r>
          </w:p>
        </w:tc>
      </w:tr>
    </w:tbl>
    <w:p>
      <w:pPr>
        <w:spacing w:after="200"/>
      </w:pPr>
    </w:p>
    <w:p>
      <w:pPr>
        <w:spacing w:after="200" w:line="276"/>
        <w:jc w:val="both"/>
      </w:pPr>
      <w:r>
        <w:rPr>
          <w:rFonts w:ascii="Arial" w:cs="Arial" w:eastAsia="Arial" w:hAnsi="Arial"/>
          <w:color w:val="333333"/>
          <w:sz w:val="22"/>
          <w:szCs w:val="22"/>
        </w:rPr>
        <w:t xml:space="preserve">Conservative Scenario (50%+ haircuts): $8.96 per share</w:t>
      </w:r>
    </w:p>
    <w:p>
      <w:pPr>
        <w:spacing w:after="200" w:line="276"/>
        <w:jc w:val="both"/>
      </w:pPr>
      <w:r>
        <w:rPr>
          <w:rFonts w:ascii="Arial" w:cs="Arial" w:eastAsia="Arial" w:hAnsi="Arial"/>
          <w:color w:val="333333"/>
          <w:sz w:val="22"/>
          <w:szCs w:val="22"/>
        </w:rPr>
        <w:t xml:space="preserve">Base Case Scenario (30% haircuts): $12.56 per share</w:t>
      </w:r>
    </w:p>
    <w:p>
      <w:pPr>
        <w:spacing w:after="200" w:line="276"/>
        <w:jc w:val="both"/>
      </w:pPr>
      <w:r>
        <w:rPr>
          <w:rFonts w:ascii="Arial" w:cs="Arial" w:eastAsia="Arial" w:hAnsi="Arial"/>
          <w:color w:val="333333"/>
          <w:sz w:val="22"/>
          <w:szCs w:val="22"/>
        </w:rPr>
        <w:t xml:space="preserve">Aggressive Scenario (20% haircuts): $15.80 per share</w:t>
      </w:r>
    </w:p>
    <w:p>
      <w:pPr>
        <w:pStyle w:val="Heading2"/>
        <w:spacing w:before="300" w:after="150"/>
      </w:pPr>
      <w:r>
        <w:rPr>
          <w:rFonts w:ascii="Arial" w:cs="Arial" w:eastAsia="Arial" w:hAnsi="Arial"/>
          <w:b/>
          <w:bCs/>
          <w:color w:val="1B365D"/>
          <w:sz w:val="26"/>
          <w:szCs w:val="26"/>
        </w:rPr>
        <w:t xml:space="preserve">7.2 Discount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Metric</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Value</w:t>
            </w:r>
          </w:p>
        </w:tc>
        <w:tc>
          <w:tcPr>
            <w:tcW w:type="dxa" w:w="3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Calculation</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Current Price</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$1.08</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Market price Feb 18, 2026</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Cash Per Share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$3.47</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$132M / 38M shares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Discount to Cash</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68.9%</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1 - ($1.08 / $3.47)</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Conservative IV</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$8.96</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Sum-of-parts with 50% haircuts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Discount to Conservative IV</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88.0%</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1 - ($1.08 / $8.96)</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Base Case IV</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$12.56</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Sum-of-parts with 30% haircuts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Discount to Base Case IV</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91.4%</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1 - ($1.08 / $12.56)</w:t>
            </w:r>
          </w:p>
        </w:tc>
      </w:tr>
    </w:tbl>
    <w:p>
      <w:pPr>
        <w:spacing w:after="200"/>
      </w:pPr>
    </w:p>
    <w:p>
      <w:pPr>
        <w:pStyle w:val="Heading2"/>
        <w:spacing w:before="300" w:after="150"/>
      </w:pPr>
      <w:r>
        <w:rPr>
          <w:rFonts w:ascii="Arial" w:cs="Arial" w:eastAsia="Arial" w:hAnsi="Arial"/>
          <w:b/>
          <w:bCs/>
          <w:color w:val="1B365D"/>
          <w:sz w:val="26"/>
          <w:szCs w:val="26"/>
        </w:rPr>
        <w:t xml:space="preserve">7.3 Scenario Analysis</w:t>
      </w:r>
    </w:p>
    <w:p>
      <w:pPr>
        <w:spacing w:after="200" w:line="276"/>
        <w:jc w:val="both"/>
      </w:pPr>
      <w:r>
        <w:rPr>
          <w:rFonts w:ascii="Arial" w:cs="Arial" w:eastAsia="Arial" w:hAnsi="Arial"/>
          <w:color w:val="333333"/>
          <w:sz w:val="22"/>
          <w:szCs w:val="22"/>
        </w:rPr>
        <w:t xml:space="preserve">The following scenarios model potential outcomes based on varying degrees of thesis realization: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200"/>
        <w:gridCol w:w="1700"/>
        <w:gridCol w:w="1400"/>
        <w:gridCol w:w="2560"/>
      </w:tblGrid>
      <w:tr>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Scenario</w:t>
            </w:r>
          </w:p>
        </w:tc>
        <w:tc>
          <w:tcPr>
            <w:tcW w:type="dxa" w:w="1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Probability</w:t>
            </w:r>
          </w:p>
        </w:tc>
        <w:tc>
          <w:tcPr>
            <w:tcW w:type="dxa" w:w="17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Price Target</w:t>
            </w:r>
          </w:p>
        </w:tc>
        <w:tc>
          <w:tcPr>
            <w:tcW w:type="dxa" w:w="14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Upside</w:t>
            </w:r>
          </w:p>
        </w:tc>
        <w:tc>
          <w:tcPr>
            <w:tcW w:type="dxa" w:w="25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Rationale</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No Integration</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$2.50-$3.00</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132-178%</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Cash value recognized; no StablecoinX benefit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JuCoin Lists USDe/ENA</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40%</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$4.00-$5.00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270-363%</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Exchange revenue + ecosystem awareness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JuCoin + Strategic Investment</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20%</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$6.00-$8.00</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456-641%</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Token appreciation + exchange growth</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Full Ecosystem Integration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$10.00-$15.00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826-1289%</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Acquisition target or strategic combination</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Short Squeeze Trigger</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$15.00-$25.00</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1289-2215%</w:t>
            </w:r>
          </w:p>
        </w:tc>
        <w:tc>
          <w:tcPr>
            <w:tcW w:type="dxa" w:w="2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Forced covering + momentum</w:t>
            </w:r>
          </w:p>
        </w:tc>
      </w:tr>
    </w:tbl>
    <w:p>
      <w:pPr>
        <w:spacing w:after="200"/>
      </w:pPr>
    </w:p>
    <w:p>
      <w:pPr>
        <w:spacing w:after="200" w:line="276"/>
        <w:jc w:val="both"/>
      </w:pPr>
      <w:r>
        <w:rPr>
          <w:rFonts w:ascii="Arial" w:cs="Arial" w:eastAsia="Arial" w:hAnsi="Arial"/>
          <w:color w:val="333333"/>
          <w:sz w:val="22"/>
          <w:szCs w:val="22"/>
        </w:rPr>
        <w:t xml:space="preserve">Probability-Weighted Expected Value:</w:t>
      </w:r>
    </w:p>
    <w:p>
      <w:pPr>
        <w:spacing w:after="200" w:line="276"/>
        <w:jc w:val="both"/>
      </w:pPr>
      <w:r>
        <w:rPr>
          <w:rFonts w:ascii="Arial" w:cs="Arial" w:eastAsia="Arial" w:hAnsi="Arial"/>
          <w:color w:val="333333"/>
          <w:sz w:val="22"/>
          <w:szCs w:val="22"/>
        </w:rPr>
        <w:t xml:space="preserve">(25% × $2.75) + (40% × $4.50) + (20% × $7.00) + (10% × $12.50) + (5% × $20.00) = $5.44 per 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EXPECTED VALUE ANALYSIS</w:t>
            </w:r>
          </w:p>
          <w:p>
            <w:r>
              <w:rPr>
                <w:rFonts w:ascii="Arial" w:cs="Arial" w:eastAsia="Arial" w:hAnsi="Arial"/>
                <w:color w:val="333333"/>
                <w:sz w:val="22"/>
                <w:szCs w:val="22"/>
              </w:rPr>
              <w:t xml:space="preserve">The probability-weighted expected value of $5.44 represents 404% upside from the current $1.08 price. Even the worst-case scenario (no integration, cash value recognition at $2.75) implies 155% upside, demonstrating the asymmetric risk/reward profile.</w:t>
            </w:r>
          </w:p>
        </w:tc>
      </w:tr>
    </w:tbl>
    <w:p>
      <w:r>
        <w:br w:type="page"/>
      </w:r>
    </w:p>
    <w:p>
      <w:pPr>
        <w:pStyle w:val="Heading1"/>
        <w:spacing w:before="400" w:after="200"/>
      </w:pPr>
      <w:r>
        <w:rPr>
          <w:rFonts w:ascii="Arial" w:cs="Arial" w:eastAsia="Arial" w:hAnsi="Arial"/>
          <w:b/>
          <w:bCs/>
          <w:color w:val="1B365D"/>
          <w:sz w:val="32"/>
          <w:szCs w:val="32"/>
        </w:rPr>
        <w:t xml:space="preserve">8. Catalyst Timeline</w:t>
      </w:r>
    </w:p>
    <w:p>
      <w:pPr>
        <w:pStyle w:val="Heading2"/>
        <w:spacing w:before="300" w:after="150"/>
      </w:pPr>
      <w:r>
        <w:rPr>
          <w:rFonts w:ascii="Arial" w:cs="Arial" w:eastAsia="Arial" w:hAnsi="Arial"/>
          <w:b/>
          <w:bCs/>
          <w:color w:val="1B365D"/>
          <w:sz w:val="26"/>
          <w:szCs w:val="26"/>
        </w:rPr>
        <w:t xml:space="preserve">8.1 Near-Term Catalysts (Q1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200"/>
        <w:gridCol w:w="2800"/>
        <w:gridCol w:w="2660"/>
      </w:tblGrid>
      <w:tr>
        <w:tc>
          <w:tcPr>
            <w:tcW w:type="dxa" w:w="17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Date</w:t>
            </w:r>
          </w:p>
        </w:tc>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Event</w:t>
            </w:r>
          </w:p>
        </w:tc>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Significance</w:t>
            </w:r>
          </w:p>
        </w:tc>
        <w:tc>
          <w:tcPr>
            <w:tcW w:type="dxa" w:w="26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Expected Impact</w:t>
            </w:r>
          </w:p>
        </w:tc>
      </w:tr>
      <w:tr>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Feb 14, 2026</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13G Filing Deadline</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Q4 2025 beneficial ownership disclosure</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May reveal December placement buyers</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Feb 17-18, 2026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StablecoinX Proxy Filed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Definitive proxy, Tarala connection disclosed</w:t>
            </w:r>
          </w:p>
        </w:tc>
        <w:tc>
          <w:tcPr>
            <w:tcW w:type="dxa" w:w="2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Market awareness catalyst</w:t>
            </w:r>
          </w:p>
        </w:tc>
      </w:tr>
      <w:tr>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March 6, 2026</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Redemption Deadline</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5:00 PM ET cutoff for SPAC redemptions</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Deal certainty increased</w:t>
            </w:r>
          </w:p>
        </w:tc>
      </w:tr>
      <w:tr>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March 10, 2026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StablecoinX Vote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Shareholder approval of business combination</w:t>
            </w:r>
          </w:p>
        </w:tc>
        <w:tc>
          <w:tcPr>
            <w:tcW w:type="dxa" w:w="2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PRIMARY CATALYST</w:t>
            </w:r>
          </w:p>
        </w:tc>
      </w:tr>
      <w:tr>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Post-Vote</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Nasdaq Listing (USDE)</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StablecoinX begins trading</w:t>
            </w:r>
          </w:p>
        </w:tc>
        <w:tc>
          <w:tcPr>
            <w:tcW w:type="dxa" w:w="2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Ecosystem visibility</w:t>
            </w:r>
          </w:p>
        </w:tc>
      </w:tr>
    </w:tbl>
    <w:p>
      <w:pPr>
        <w:spacing w:after="200"/>
      </w:pPr>
    </w:p>
    <w:p>
      <w:pPr>
        <w:pStyle w:val="Heading2"/>
        <w:spacing w:before="300" w:after="150"/>
      </w:pPr>
      <w:r>
        <w:rPr>
          <w:rFonts w:ascii="Arial" w:cs="Arial" w:eastAsia="Arial" w:hAnsi="Arial"/>
          <w:b/>
          <w:bCs/>
          <w:color w:val="1B365D"/>
          <w:sz w:val="26"/>
          <w:szCs w:val="26"/>
        </w:rPr>
        <w:t xml:space="preserve">8.2 Medium-Term Catalysts (Q2-Q3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1500"/>
        <w:gridCol w:w="2860"/>
      </w:tblGrid>
      <w:tr>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Timeframe</w:t>
            </w:r>
          </w:p>
        </w:tc>
        <w:tc>
          <w:tcPr>
            <w:tcW w:type="dxa" w:w="3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Potential Event</w:t>
            </w:r>
          </w:p>
        </w:tc>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Probability</w:t>
            </w:r>
          </w:p>
        </w:tc>
        <w:tc>
          <w:tcPr>
            <w:tcW w:type="dxa" w:w="2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Impact if Realized</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Q2 2026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JuCoin Exchange launch announcement</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High</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Revenue visibility, valuation rerating</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Q2 2026</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Partnership announcement with Ethena ecosystem</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Medium</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Thesis validation, institutional interest</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Q2 2026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YYAI 10-K filing (FY2025)</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Certain</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Updated financials, forward guidance</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Q3 2026</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JuCoin operational metrics disclosed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Medium</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Trading volume, user growth data</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Q3 2026</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Converge L1 blockchain launch</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Low-Medium</w:t>
            </w:r>
          </w:p>
        </w:tc>
        <w:tc>
          <w:tcPr>
            <w:tcW w:type="dxa" w:w="2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Infrastructure demand for Aberfeldy</w:t>
            </w:r>
          </w:p>
        </w:tc>
      </w:tr>
    </w:tbl>
    <w:p>
      <w:pPr>
        <w:spacing w:after="200"/>
      </w:pPr>
    </w:p>
    <w:p>
      <w:pPr>
        <w:pStyle w:val="Heading2"/>
        <w:spacing w:before="300" w:after="150"/>
      </w:pPr>
      <w:r>
        <w:rPr>
          <w:rFonts w:ascii="Arial" w:cs="Arial" w:eastAsia="Arial" w:hAnsi="Arial"/>
          <w:b/>
          <w:bCs/>
          <w:color w:val="1B365D"/>
          <w:sz w:val="26"/>
          <w:szCs w:val="26"/>
        </w:rPr>
        <w:t xml:space="preserve">8.3 Critical Date: March 10, 2026</w:t>
      </w:r>
    </w:p>
    <w:p>
      <w:pPr>
        <w:spacing w:after="200" w:line="276"/>
        <w:jc w:val="both"/>
      </w:pPr>
      <w:r>
        <w:rPr>
          <w:rFonts w:ascii="Arial" w:cs="Arial" w:eastAsia="Arial" w:hAnsi="Arial"/>
          <w:color w:val="333333"/>
          <w:sz w:val="22"/>
          <w:szCs w:val="22"/>
        </w:rPr>
        <w:t xml:space="preserve">The StablecoinX shareholder vote on March 10, 2026 represents the most significant near-term catalyst for several reasons:</w:t>
      </w:r>
    </w:p>
    <w:p>
      <w:pPr>
        <w:pStyle w:val="ListParagraph"/>
        <w:numPr>
          <w:ilvl w:val="0"/>
          <w:numId w:val="2"/>
        </w:numPr>
        <w:spacing w:after="100"/>
      </w:pPr>
      <w:r>
        <w:rPr>
          <w:rFonts w:ascii="Arial" w:cs="Arial" w:eastAsia="Arial" w:hAnsi="Arial"/>
          <w:b/>
          <w:bCs/>
          <w:sz w:val="22"/>
          <w:szCs w:val="22"/>
        </w:rPr>
        <w:t xml:space="preserve">Visibility Event: </w:t>
      </w:r>
      <w:r>
        <w:rPr>
          <w:rFonts w:ascii="Arial" w:cs="Arial" w:eastAsia="Arial" w:hAnsi="Arial"/>
          <w:sz w:val="22"/>
          <w:szCs w:val="22"/>
        </w:rPr>
        <w:t xml:space="preserve">A successful vote brings StablecoinX to public markets under ticker USDE, dramatically increasing visibility for the Ethena ecosystem and all connected entities.</w:t>
      </w:r>
    </w:p>
    <w:p>
      <w:pPr>
        <w:pStyle w:val="ListParagraph"/>
        <w:numPr>
          <w:ilvl w:val="0"/>
          <w:numId w:val="2"/>
        </w:numPr>
        <w:spacing w:after="100"/>
      </w:pPr>
      <w:r>
        <w:rPr>
          <w:rFonts w:ascii="Arial" w:cs="Arial" w:eastAsia="Arial" w:hAnsi="Arial"/>
          <w:b/>
          <w:bCs/>
          <w:sz w:val="22"/>
          <w:szCs w:val="22"/>
        </w:rPr>
        <w:t xml:space="preserve">Cross-Reference Discovery: </w:t>
      </w:r>
      <w:r>
        <w:rPr>
          <w:rFonts w:ascii="Arial" w:cs="Arial" w:eastAsia="Arial" w:hAnsi="Arial"/>
          <w:sz w:val="22"/>
          <w:szCs w:val="22"/>
        </w:rPr>
        <w:t xml:space="preserve">As analysts research StablecoinX, they will discover Tarala's YYAI role through required SEC disclosures, potentially driving investigation into YYAI's value proposition.</w:t>
      </w:r>
    </w:p>
    <w:p>
      <w:pPr>
        <w:pStyle w:val="ListParagraph"/>
        <w:numPr>
          <w:ilvl w:val="0"/>
          <w:numId w:val="2"/>
        </w:numPr>
        <w:spacing w:after="100"/>
      </w:pPr>
      <w:r>
        <w:rPr>
          <w:rFonts w:ascii="Arial" w:cs="Arial" w:eastAsia="Arial" w:hAnsi="Arial"/>
          <w:b/>
          <w:bCs/>
          <w:sz w:val="22"/>
          <w:szCs w:val="22"/>
        </w:rPr>
        <w:t xml:space="preserve">Partnership Window: </w:t>
      </w:r>
      <w:r>
        <w:rPr>
          <w:rFonts w:ascii="Arial" w:cs="Arial" w:eastAsia="Arial" w:hAnsi="Arial"/>
          <w:sz w:val="22"/>
          <w:szCs w:val="22"/>
        </w:rPr>
        <w:t xml:space="preserve">Post-close represents the optimal window for YYAI/StablecoinX partnership announcements, as parties would no longer be constrained by SPAC transaction restrictions.</w:t>
      </w:r>
    </w:p>
    <w:p>
      <w:pPr>
        <w:pStyle w:val="ListParagraph"/>
        <w:numPr>
          <w:ilvl w:val="0"/>
          <w:numId w:val="2"/>
        </w:numPr>
        <w:spacing w:after="100"/>
      </w:pPr>
      <w:r>
        <w:rPr>
          <w:rFonts w:ascii="Arial" w:cs="Arial" w:eastAsia="Arial" w:hAnsi="Arial"/>
          <w:b/>
          <w:bCs/>
          <w:sz w:val="22"/>
          <w:szCs w:val="22"/>
        </w:rPr>
        <w:t xml:space="preserve">Capital Deployment: </w:t>
      </w:r>
      <w:r>
        <w:rPr>
          <w:rFonts w:ascii="Arial" w:cs="Arial" w:eastAsia="Arial" w:hAnsi="Arial"/>
          <w:sz w:val="22"/>
          <w:szCs w:val="22"/>
        </w:rPr>
        <w:t xml:space="preserve">With $893 million in PIPE funding available post-close, strategic investments in ecosystem partners (including potentially YYAI) become feasible.</w:t>
      </w:r>
    </w:p>
    <w:p>
      <w:r>
        <w:br w:type="page"/>
      </w:r>
    </w:p>
    <w:p>
      <w:pPr>
        <w:pStyle w:val="Heading1"/>
        <w:spacing w:before="400" w:after="200"/>
      </w:pPr>
      <w:r>
        <w:rPr>
          <w:rFonts w:ascii="Arial" w:cs="Arial" w:eastAsia="Arial" w:hAnsi="Arial"/>
          <w:b/>
          <w:bCs/>
          <w:color w:val="1B365D"/>
          <w:sz w:val="32"/>
          <w:szCs w:val="32"/>
        </w:rPr>
        <w:t xml:space="preserve">9. Risk Factors</w:t>
      </w:r>
    </w:p>
    <w:p>
      <w:pPr>
        <w:pStyle w:val="Heading2"/>
        <w:spacing w:before="300" w:after="150"/>
      </w:pPr>
      <w:r>
        <w:rPr>
          <w:rFonts w:ascii="Arial" w:cs="Arial" w:eastAsia="Arial" w:hAnsi="Arial"/>
          <w:b/>
          <w:bCs/>
          <w:color w:val="1B365D"/>
          <w:sz w:val="26"/>
          <w:szCs w:val="26"/>
        </w:rPr>
        <w:t xml:space="preserve">9.1 Company-Specific Risks</w:t>
      </w:r>
    </w:p>
    <w:p>
      <w:pPr>
        <w:pStyle w:val="Heading3"/>
        <w:spacing w:before="200" w:after="100"/>
      </w:pPr>
      <w:r>
        <w:rPr>
          <w:rFonts w:ascii="Arial" w:cs="Arial" w:eastAsia="Arial" w:hAnsi="Arial"/>
          <w:b/>
          <w:bCs/>
          <w:color w:val="333333"/>
          <w:sz w:val="24"/>
          <w:szCs w:val="24"/>
        </w:rPr>
        <w:t xml:space="preserve">9.1.1 Unproven Business Model</w:t>
      </w:r>
    </w:p>
    <w:p>
      <w:pPr>
        <w:spacing w:after="200" w:line="276"/>
        <w:jc w:val="both"/>
      </w:pPr>
      <w:r>
        <w:rPr>
          <w:rFonts w:ascii="Arial" w:cs="Arial" w:eastAsia="Arial" w:hAnsi="Arial"/>
          <w:color w:val="333333"/>
          <w:sz w:val="22"/>
          <w:szCs w:val="22"/>
        </w:rPr>
        <w:t xml:space="preserve">YYAI has undergone significant transformation, pivoting from sports equipment to financial technology. The JuCoin exchange is not yet operational, and revenue from IP licensing may not be sustainable. The company's ability to execute on its stated strategy remains unproven.</w:t>
      </w:r>
    </w:p>
    <w:p>
      <w:pPr>
        <w:pStyle w:val="Heading3"/>
        <w:spacing w:before="200" w:after="100"/>
      </w:pPr>
      <w:r>
        <w:rPr>
          <w:rFonts w:ascii="Arial" w:cs="Arial" w:eastAsia="Arial" w:hAnsi="Arial"/>
          <w:b/>
          <w:bCs/>
          <w:color w:val="333333"/>
          <w:sz w:val="24"/>
          <w:szCs w:val="24"/>
        </w:rPr>
        <w:t xml:space="preserve">9.1.2 Concentrated Ownership</w:t>
      </w:r>
    </w:p>
    <w:p>
      <w:pPr>
        <w:spacing w:after="200" w:line="276"/>
        <w:jc w:val="both"/>
      </w:pPr>
      <w:r>
        <w:rPr>
          <w:rFonts w:ascii="Arial" w:cs="Arial" w:eastAsia="Arial" w:hAnsi="Arial"/>
          <w:color w:val="333333"/>
          <w:sz w:val="22"/>
          <w:szCs w:val="22"/>
        </w:rPr>
        <w:t xml:space="preserve">Chairman Zhou controls approximately 48% of outstanding shares. This concentration creates risks related to governance, potential conflicts of interest, and limited minority shareholder influence. Additionally, any significant selling by Zhou could materially impact the stock price.</w:t>
      </w:r>
    </w:p>
    <w:p>
      <w:pPr>
        <w:pStyle w:val="Heading3"/>
        <w:spacing w:before="200" w:after="100"/>
      </w:pPr>
      <w:r>
        <w:rPr>
          <w:rFonts w:ascii="Arial" w:cs="Arial" w:eastAsia="Arial" w:hAnsi="Arial"/>
          <w:b/>
          <w:bCs/>
          <w:color w:val="333333"/>
          <w:sz w:val="24"/>
          <w:szCs w:val="24"/>
        </w:rPr>
        <w:t xml:space="preserve">9.1.3 Dilution Risk</w:t>
      </w:r>
    </w:p>
    <w:p>
      <w:pPr>
        <w:spacing w:after="200" w:line="276"/>
        <w:jc w:val="both"/>
      </w:pPr>
      <w:r>
        <w:rPr>
          <w:rFonts w:ascii="Arial" w:cs="Arial" w:eastAsia="Arial" w:hAnsi="Arial"/>
          <w:color w:val="333333"/>
          <w:sz w:val="22"/>
          <w:szCs w:val="22"/>
        </w:rPr>
        <w:t xml:space="preserve">The company has aggressively raised capital, issuing over 40 million shares in fiscal 2026 alone. The ATM facility remains active, and management retains broad discretion over additional equity issuances. Continued dilution could offset any business value creation.</w:t>
      </w:r>
    </w:p>
    <w:p>
      <w:pPr>
        <w:pStyle w:val="Heading3"/>
        <w:spacing w:before="200" w:after="100"/>
      </w:pPr>
      <w:r>
        <w:rPr>
          <w:rFonts w:ascii="Arial" w:cs="Arial" w:eastAsia="Arial" w:hAnsi="Arial"/>
          <w:b/>
          <w:bCs/>
          <w:color w:val="333333"/>
          <w:sz w:val="24"/>
          <w:szCs w:val="24"/>
        </w:rPr>
        <w:t xml:space="preserve">9.1.4 Hong Kong/China Regulatory Exposure</w:t>
      </w:r>
    </w:p>
    <w:p>
      <w:pPr>
        <w:spacing w:after="200" w:line="276"/>
        <w:jc w:val="both"/>
      </w:pPr>
      <w:r>
        <w:rPr>
          <w:rFonts w:ascii="Arial" w:cs="Arial" w:eastAsia="Arial" w:hAnsi="Arial"/>
          <w:color w:val="333333"/>
          <w:sz w:val="22"/>
          <w:szCs w:val="22"/>
        </w:rPr>
        <w:t xml:space="preserve">YYAI operates through a Hong Kong subsidiary, creating exposure to evolving PRC regulatory frameworks. While Hong Kong maintains separate governing systems, the Chinese government could intervene or impose restrictions on the company's operations, capital flows, or ability to maintain U.S. listings.</w:t>
      </w:r>
    </w:p>
    <w:p>
      <w:pPr>
        <w:pStyle w:val="Heading3"/>
        <w:spacing w:before="200" w:after="100"/>
      </w:pPr>
      <w:r>
        <w:rPr>
          <w:rFonts w:ascii="Arial" w:cs="Arial" w:eastAsia="Arial" w:hAnsi="Arial"/>
          <w:b/>
          <w:bCs/>
          <w:color w:val="333333"/>
          <w:sz w:val="24"/>
          <w:szCs w:val="24"/>
        </w:rPr>
        <w:t xml:space="preserve">9.1.5 Auditor Concerns</w:t>
      </w:r>
    </w:p>
    <w:p>
      <w:pPr>
        <w:spacing w:after="200" w:line="276"/>
        <w:jc w:val="both"/>
      </w:pPr>
      <w:r>
        <w:rPr>
          <w:rFonts w:ascii="Arial" w:cs="Arial" w:eastAsia="Arial" w:hAnsi="Arial"/>
          <w:color w:val="333333"/>
          <w:sz w:val="22"/>
          <w:szCs w:val="22"/>
        </w:rPr>
        <w:t xml:space="preserve">The company's former auditor, Olayinka Oyebola &amp; Co., has been charged by the SEC in connection with allegedly aiding and abetting securities fraud. While YYAI has since engaged new auditors, any required restatements or credibility concerns could materially impact the company.</w:t>
      </w:r>
    </w:p>
    <w:p>
      <w:pPr>
        <w:pStyle w:val="Heading2"/>
        <w:spacing w:before="300" w:after="150"/>
      </w:pPr>
      <w:r>
        <w:rPr>
          <w:rFonts w:ascii="Arial" w:cs="Arial" w:eastAsia="Arial" w:hAnsi="Arial"/>
          <w:b/>
          <w:bCs/>
          <w:color w:val="1B365D"/>
          <w:sz w:val="26"/>
          <w:szCs w:val="26"/>
        </w:rPr>
        <w:t xml:space="preserve">9.2 Thesis-Specific Risks</w:t>
      </w:r>
    </w:p>
    <w:p>
      <w:pPr>
        <w:pStyle w:val="Heading3"/>
        <w:spacing w:before="200" w:after="100"/>
      </w:pPr>
      <w:r>
        <w:rPr>
          <w:rFonts w:ascii="Arial" w:cs="Arial" w:eastAsia="Arial" w:hAnsi="Arial"/>
          <w:b/>
          <w:bCs/>
          <w:color w:val="333333"/>
          <w:sz w:val="24"/>
          <w:szCs w:val="24"/>
        </w:rPr>
        <w:t xml:space="preserve">9.2.1 No Guaranteed StablecoinX Integration</w:t>
      </w:r>
    </w:p>
    <w:p>
      <w:pPr>
        <w:spacing w:after="200" w:line="276"/>
        <w:jc w:val="both"/>
      </w:pPr>
      <w:r>
        <w:rPr>
          <w:rFonts w:ascii="Arial" w:cs="Arial" w:eastAsia="Arial" w:hAnsi="Arial"/>
          <w:color w:val="333333"/>
          <w:sz w:val="22"/>
          <w:szCs w:val="22"/>
        </w:rPr>
        <w:t xml:space="preserve">The Tarala connection creates potential for ecosystem integration but guarantees nothing. Tarala owns zero equity in StablecoinX and serves as an independent director with no disclosed commercial arrangements with YYAI. The market may be correct in assigning no value to this connection.</w:t>
      </w:r>
    </w:p>
    <w:p>
      <w:pPr>
        <w:pStyle w:val="Heading3"/>
        <w:spacing w:before="200" w:after="100"/>
      </w:pPr>
      <w:r>
        <w:rPr>
          <w:rFonts w:ascii="Arial" w:cs="Arial" w:eastAsia="Arial" w:hAnsi="Arial"/>
          <w:b/>
          <w:bCs/>
          <w:color w:val="333333"/>
          <w:sz w:val="24"/>
          <w:szCs w:val="24"/>
        </w:rPr>
        <w:t xml:space="preserve">9.2.2 StablecoinX Transaction Risk</w:t>
      </w:r>
    </w:p>
    <w:p>
      <w:pPr>
        <w:spacing w:after="200" w:line="276"/>
        <w:jc w:val="both"/>
      </w:pPr>
      <w:r>
        <w:rPr>
          <w:rFonts w:ascii="Arial" w:cs="Arial" w:eastAsia="Arial" w:hAnsi="Arial"/>
          <w:color w:val="333333"/>
          <w:sz w:val="22"/>
          <w:szCs w:val="22"/>
        </w:rPr>
        <w:t xml:space="preserve">The StablecoinX business combination requires shareholder approval and could fail or be delayed. High redemption rates could reduce available capital. Regulatory challenges could prevent Nasdaq listing. Any of these scenarios would eliminate a key catalyst.</w:t>
      </w:r>
    </w:p>
    <w:p>
      <w:pPr>
        <w:pStyle w:val="Heading3"/>
        <w:spacing w:before="200" w:after="100"/>
      </w:pPr>
      <w:r>
        <w:rPr>
          <w:rFonts w:ascii="Arial" w:cs="Arial" w:eastAsia="Arial" w:hAnsi="Arial"/>
          <w:b/>
          <w:bCs/>
          <w:color w:val="333333"/>
          <w:sz w:val="24"/>
          <w:szCs w:val="24"/>
        </w:rPr>
        <w:t xml:space="preserve">9.2.3 Cryptocurrency Market Volatility</w:t>
      </w:r>
    </w:p>
    <w:p>
      <w:pPr>
        <w:spacing w:after="200" w:line="276"/>
        <w:jc w:val="both"/>
      </w:pPr>
      <w:r>
        <w:rPr>
          <w:rFonts w:ascii="Arial" w:cs="Arial" w:eastAsia="Arial" w:hAnsi="Arial"/>
          <w:color w:val="333333"/>
          <w:sz w:val="22"/>
          <w:szCs w:val="22"/>
        </w:rPr>
        <w:t xml:space="preserve">YYAI's thesis depends partially on cryptocurrency market conditions. ENA token price, USDe adoption, and overall crypto market sentiment could materially impact the value of potential integrations and the JuCoin exchange business.</w:t>
      </w:r>
    </w:p>
    <w:p>
      <w:pPr>
        <w:pStyle w:val="Heading3"/>
        <w:spacing w:before="200" w:after="100"/>
      </w:pPr>
      <w:r>
        <w:rPr>
          <w:rFonts w:ascii="Arial" w:cs="Arial" w:eastAsia="Arial" w:hAnsi="Arial"/>
          <w:b/>
          <w:bCs/>
          <w:color w:val="333333"/>
          <w:sz w:val="24"/>
          <w:szCs w:val="24"/>
        </w:rPr>
        <w:t xml:space="preserve">9.2.4 Liquidity Risk</w:t>
      </w:r>
    </w:p>
    <w:p>
      <w:pPr>
        <w:spacing w:after="200" w:line="276"/>
        <w:jc w:val="both"/>
      </w:pPr>
      <w:r>
        <w:rPr>
          <w:rFonts w:ascii="Arial" w:cs="Arial" w:eastAsia="Arial" w:hAnsi="Arial"/>
          <w:color w:val="333333"/>
          <w:sz w:val="22"/>
          <w:szCs w:val="22"/>
        </w:rPr>
        <w:t xml:space="preserve">With only approximately 15% of shares in public float and significant ownership concentration, YYAI shares may experience limited liquidity. Large transactions could materially impact price, and investors may have difficulty exiting positions at desired prices.</w:t>
      </w:r>
    </w:p>
    <w:p>
      <w:pPr>
        <w:pStyle w:val="Heading2"/>
        <w:spacing w:before="300" w:after="150"/>
      </w:pPr>
      <w:r>
        <w:rPr>
          <w:rFonts w:ascii="Arial" w:cs="Arial" w:eastAsia="Arial" w:hAnsi="Arial"/>
          <w:b/>
          <w:bCs/>
          <w:color w:val="1B365D"/>
          <w:sz w:val="26"/>
          <w:szCs w:val="26"/>
        </w:rPr>
        <w:t xml:space="preserve">9.3 Market Risks</w:t>
      </w:r>
    </w:p>
    <w:p>
      <w:pPr>
        <w:pStyle w:val="Heading3"/>
        <w:spacing w:before="200" w:after="100"/>
      </w:pPr>
      <w:r>
        <w:rPr>
          <w:rFonts w:ascii="Arial" w:cs="Arial" w:eastAsia="Arial" w:hAnsi="Arial"/>
          <w:b/>
          <w:bCs/>
          <w:color w:val="333333"/>
          <w:sz w:val="24"/>
          <w:szCs w:val="24"/>
        </w:rPr>
        <w:t xml:space="preserve">9.3.1 Value Trap Potential</w:t>
      </w:r>
    </w:p>
    <w:p>
      <w:pPr>
        <w:spacing w:after="200" w:line="276"/>
        <w:jc w:val="both"/>
      </w:pPr>
      <w:r>
        <w:rPr>
          <w:rFonts w:ascii="Arial" w:cs="Arial" w:eastAsia="Arial" w:hAnsi="Arial"/>
          <w:color w:val="333333"/>
          <w:sz w:val="22"/>
          <w:szCs w:val="22"/>
        </w:rPr>
        <w:t xml:space="preserve">The significant discount to cash value may persist indefinitely if the market believes management will destroy value through poor capital allocation, excessive dilution, or failed business execution. Cash on balance sheet does not guarantee shareholder returns.</w:t>
      </w:r>
    </w:p>
    <w:p>
      <w:pPr>
        <w:pStyle w:val="Heading3"/>
        <w:spacing w:before="200" w:after="100"/>
      </w:pPr>
      <w:r>
        <w:rPr>
          <w:rFonts w:ascii="Arial" w:cs="Arial" w:eastAsia="Arial" w:hAnsi="Arial"/>
          <w:b/>
          <w:bCs/>
          <w:color w:val="333333"/>
          <w:sz w:val="24"/>
          <w:szCs w:val="24"/>
        </w:rPr>
        <w:t xml:space="preserve">9.3.2 Synthetic Short Position</w:t>
      </w:r>
    </w:p>
    <w:p>
      <w:pPr>
        <w:spacing w:after="200" w:line="276"/>
        <w:jc w:val="both"/>
      </w:pPr>
      <w:r>
        <w:rPr>
          <w:rFonts w:ascii="Arial" w:cs="Arial" w:eastAsia="Arial" w:hAnsi="Arial"/>
          <w:color w:val="333333"/>
          <w:sz w:val="22"/>
          <w:szCs w:val="22"/>
        </w:rPr>
        <w:t xml:space="preserve">Analysis suggests potential synthetic short interest of 20-27 million shares. While this could fuel a short squeeze, it also indicates sophisticated investors have identified risks not apparent in public filings. Short sellers may possess material non-public negative information.</w:t>
      </w:r>
    </w:p>
    <w:p>
      <w:r>
        <w:br w:type="page"/>
      </w:r>
    </w:p>
    <w:p>
      <w:pPr>
        <w:pStyle w:val="Heading1"/>
        <w:spacing w:before="400" w:after="200"/>
      </w:pPr>
      <w:r>
        <w:rPr>
          <w:rFonts w:ascii="Arial" w:cs="Arial" w:eastAsia="Arial" w:hAnsi="Arial"/>
          <w:b/>
          <w:bCs/>
          <w:color w:val="1B365D"/>
          <w:sz w:val="32"/>
          <w:szCs w:val="32"/>
        </w:rPr>
        <w:t xml:space="preserve">10. Investment Thesis Summary</w:t>
      </w:r>
    </w:p>
    <w:p>
      <w:pPr>
        <w:pStyle w:val="Heading2"/>
        <w:spacing w:before="300" w:after="150"/>
      </w:pPr>
      <w:r>
        <w:rPr>
          <w:rFonts w:ascii="Arial" w:cs="Arial" w:eastAsia="Arial" w:hAnsi="Arial"/>
          <w:b/>
          <w:bCs/>
          <w:color w:val="1B365D"/>
          <w:sz w:val="26"/>
          <w:szCs w:val="26"/>
        </w:rPr>
        <w:t xml:space="preserve">10.1 Bull Case</w:t>
      </w:r>
    </w:p>
    <w:p>
      <w:pPr>
        <w:pStyle w:val="ListParagraph"/>
        <w:numPr>
          <w:ilvl w:val="0"/>
          <w:numId w:val="3"/>
        </w:numPr>
        <w:spacing w:after="100"/>
      </w:pPr>
      <w:r>
        <w:rPr>
          <w:rFonts w:ascii="Arial" w:cs="Arial" w:eastAsia="Arial" w:hAnsi="Arial"/>
          <w:b/>
          <w:bCs/>
          <w:sz w:val="22"/>
          <w:szCs w:val="22"/>
        </w:rPr>
        <w:t xml:space="preserve">Extreme margin of safety: </w:t>
      </w:r>
      <w:r>
        <w:rPr>
          <w:rFonts w:ascii="Arial" w:cs="Arial" w:eastAsia="Arial" w:hAnsi="Arial"/>
          <w:sz w:val="22"/>
          <w:szCs w:val="22"/>
        </w:rPr>
        <w:t xml:space="preserve">Trading at 69% discount to cash provides substantial downside protection. Even in worst-case liquidation scenario, shareholders would receive approximately $3.00+ per share.</w:t>
      </w:r>
    </w:p>
    <w:p>
      <w:pPr>
        <w:pStyle w:val="ListParagraph"/>
        <w:numPr>
          <w:ilvl w:val="0"/>
          <w:numId w:val="3"/>
        </w:numPr>
        <w:spacing w:after="100"/>
      </w:pPr>
      <w:r>
        <w:rPr>
          <w:rFonts w:ascii="Arial" w:cs="Arial" w:eastAsia="Arial" w:hAnsi="Arial"/>
          <w:b/>
          <w:bCs/>
          <w:sz w:val="22"/>
          <w:szCs w:val="22"/>
        </w:rPr>
        <w:t xml:space="preserve">Undiscovered catalyst: </w:t>
      </w:r>
      <w:r>
        <w:rPr>
          <w:rFonts w:ascii="Arial" w:cs="Arial" w:eastAsia="Arial" w:hAnsi="Arial"/>
          <w:sz w:val="22"/>
          <w:szCs w:val="22"/>
        </w:rPr>
        <w:t xml:space="preserve">The Tarala-StablecoinX connection is SEC-verified but not reflected in current price. March 10 vote could trigger market awareness and repricing.</w:t>
      </w:r>
    </w:p>
    <w:p>
      <w:pPr>
        <w:pStyle w:val="ListParagraph"/>
        <w:numPr>
          <w:ilvl w:val="0"/>
          <w:numId w:val="3"/>
        </w:numPr>
        <w:spacing w:after="100"/>
      </w:pPr>
      <w:r>
        <w:rPr>
          <w:rFonts w:ascii="Arial" w:cs="Arial" w:eastAsia="Arial" w:hAnsi="Arial"/>
          <w:b/>
          <w:bCs/>
          <w:sz w:val="22"/>
          <w:szCs w:val="22"/>
        </w:rPr>
        <w:t xml:space="preserve">Institutional validation: </w:t>
      </w:r>
      <w:r>
        <w:rPr>
          <w:rFonts w:ascii="Arial" w:cs="Arial" w:eastAsia="Arial" w:hAnsi="Arial"/>
          <w:sz w:val="22"/>
          <w:szCs w:val="22"/>
        </w:rPr>
        <w:t xml:space="preserve">Nine accredited investors deployed $15.7 million at $1.02. Sophisticated capital does not typically accept 70% discounts without expecting substantial returns.</w:t>
      </w:r>
    </w:p>
    <w:p>
      <w:pPr>
        <w:pStyle w:val="ListParagraph"/>
        <w:numPr>
          <w:ilvl w:val="0"/>
          <w:numId w:val="3"/>
        </w:numPr>
        <w:spacing w:after="100"/>
      </w:pPr>
      <w:r>
        <w:rPr>
          <w:rFonts w:ascii="Arial" w:cs="Arial" w:eastAsia="Arial" w:hAnsi="Arial"/>
          <w:b/>
          <w:bCs/>
          <w:sz w:val="22"/>
          <w:szCs w:val="22"/>
        </w:rPr>
        <w:t xml:space="preserve">Asymmetric payoff: </w:t>
      </w:r>
      <w:r>
        <w:rPr>
          <w:rFonts w:ascii="Arial" w:cs="Arial" w:eastAsia="Arial" w:hAnsi="Arial"/>
          <w:sz w:val="22"/>
          <w:szCs w:val="22"/>
        </w:rPr>
        <w:t xml:space="preserve">Limited downside (cash floor), significant upside (ecosystem integration). Expected value calculation suggests 400%+ potential return.</w:t>
      </w:r>
    </w:p>
    <w:p>
      <w:pPr>
        <w:pStyle w:val="ListParagraph"/>
        <w:numPr>
          <w:ilvl w:val="0"/>
          <w:numId w:val="3"/>
        </w:numPr>
        <w:spacing w:after="100"/>
      </w:pPr>
      <w:r>
        <w:rPr>
          <w:rFonts w:ascii="Arial" w:cs="Arial" w:eastAsia="Arial" w:hAnsi="Arial"/>
          <w:b/>
          <w:bCs/>
          <w:sz w:val="22"/>
          <w:szCs w:val="22"/>
        </w:rPr>
        <w:t xml:space="preserve">Short squeeze potential: </w:t>
      </w:r>
      <w:r>
        <w:rPr>
          <w:rFonts w:ascii="Arial" w:cs="Arial" w:eastAsia="Arial" w:hAnsi="Arial"/>
          <w:sz w:val="22"/>
          <w:szCs w:val="22"/>
        </w:rPr>
        <w:t xml:space="preserve">Estimated 20-27 million synthetic short shares against limited float could amplify any positive catalyst.</w:t>
      </w:r>
    </w:p>
    <w:p>
      <w:pPr>
        <w:pStyle w:val="Heading2"/>
        <w:spacing w:before="300" w:after="150"/>
      </w:pPr>
      <w:r>
        <w:rPr>
          <w:rFonts w:ascii="Arial" w:cs="Arial" w:eastAsia="Arial" w:hAnsi="Arial"/>
          <w:b/>
          <w:bCs/>
          <w:color w:val="1B365D"/>
          <w:sz w:val="26"/>
          <w:szCs w:val="26"/>
        </w:rPr>
        <w:t xml:space="preserve">10.2 Bear Case</w:t>
      </w:r>
    </w:p>
    <w:p>
      <w:pPr>
        <w:pStyle w:val="ListParagraph"/>
        <w:numPr>
          <w:ilvl w:val="0"/>
          <w:numId w:val="3"/>
        </w:numPr>
        <w:spacing w:after="100"/>
      </w:pPr>
      <w:r>
        <w:rPr>
          <w:rFonts w:ascii="Arial" w:cs="Arial" w:eastAsia="Arial" w:hAnsi="Arial"/>
          <w:b/>
          <w:bCs/>
          <w:sz w:val="22"/>
          <w:szCs w:val="22"/>
        </w:rPr>
        <w:t xml:space="preserve">Value trap: </w:t>
      </w:r>
      <w:r>
        <w:rPr>
          <w:rFonts w:ascii="Arial" w:cs="Arial" w:eastAsia="Arial" w:hAnsi="Arial"/>
          <w:sz w:val="22"/>
          <w:szCs w:val="22"/>
        </w:rPr>
        <w:t xml:space="preserve">Management may destroy cash value through poor acquisitions, failed ventures, or continued dilution. The discount may be justified by execution risk.</w:t>
      </w:r>
    </w:p>
    <w:p>
      <w:pPr>
        <w:pStyle w:val="ListParagraph"/>
        <w:numPr>
          <w:ilvl w:val="0"/>
          <w:numId w:val="3"/>
        </w:numPr>
        <w:spacing w:after="100"/>
      </w:pPr>
      <w:r>
        <w:rPr>
          <w:rFonts w:ascii="Arial" w:cs="Arial" w:eastAsia="Arial" w:hAnsi="Arial"/>
          <w:b/>
          <w:bCs/>
          <w:sz w:val="22"/>
          <w:szCs w:val="22"/>
        </w:rPr>
        <w:t xml:space="preserve">No guaranteed connection: </w:t>
      </w:r>
      <w:r>
        <w:rPr>
          <w:rFonts w:ascii="Arial" w:cs="Arial" w:eastAsia="Arial" w:hAnsi="Arial"/>
          <w:sz w:val="22"/>
          <w:szCs w:val="22"/>
        </w:rPr>
        <w:t xml:space="preserve">Tarala's board seat does not guarantee any commercial benefit to YYAI. The market may be correctly pricing zero value for this connection.</w:t>
      </w:r>
    </w:p>
    <w:p>
      <w:pPr>
        <w:pStyle w:val="ListParagraph"/>
        <w:numPr>
          <w:ilvl w:val="0"/>
          <w:numId w:val="3"/>
        </w:numPr>
        <w:spacing w:after="100"/>
      </w:pPr>
      <w:r>
        <w:rPr>
          <w:rFonts w:ascii="Arial" w:cs="Arial" w:eastAsia="Arial" w:hAnsi="Arial"/>
          <w:b/>
          <w:bCs/>
          <w:sz w:val="22"/>
          <w:szCs w:val="22"/>
        </w:rPr>
        <w:t xml:space="preserve">Regulatory risk: </w:t>
      </w:r>
      <w:r>
        <w:rPr>
          <w:rFonts w:ascii="Arial" w:cs="Arial" w:eastAsia="Arial" w:hAnsi="Arial"/>
          <w:sz w:val="22"/>
          <w:szCs w:val="22"/>
        </w:rPr>
        <w:t xml:space="preserve">Hong Kong/China exposure, cryptocurrency regulatory uncertainty, and prior auditor issues create significant tail risks.</w:t>
      </w:r>
    </w:p>
    <w:p>
      <w:pPr>
        <w:pStyle w:val="ListParagraph"/>
        <w:numPr>
          <w:ilvl w:val="0"/>
          <w:numId w:val="3"/>
        </w:numPr>
        <w:spacing w:after="100"/>
      </w:pPr>
      <w:r>
        <w:rPr>
          <w:rFonts w:ascii="Arial" w:cs="Arial" w:eastAsia="Arial" w:hAnsi="Arial"/>
          <w:b/>
          <w:bCs/>
          <w:sz w:val="22"/>
          <w:szCs w:val="22"/>
        </w:rPr>
        <w:t xml:space="preserve">Liquidity constraints: </w:t>
      </w:r>
      <w:r>
        <w:rPr>
          <w:rFonts w:ascii="Arial" w:cs="Arial" w:eastAsia="Arial" w:hAnsi="Arial"/>
          <w:sz w:val="22"/>
          <w:szCs w:val="22"/>
        </w:rPr>
        <w:t xml:space="preserve">Limited float and concentrated ownership may prevent investors from exiting positions if thesis fails.</w:t>
      </w:r>
    </w:p>
    <w:p>
      <w:pPr>
        <w:pStyle w:val="Heading2"/>
        <w:spacing w:before="300" w:after="150"/>
      </w:pPr>
      <w:r>
        <w:rPr>
          <w:rFonts w:ascii="Arial" w:cs="Arial" w:eastAsia="Arial" w:hAnsi="Arial"/>
          <w:b/>
          <w:bCs/>
          <w:color w:val="1B365D"/>
          <w:sz w:val="26"/>
          <w:szCs w:val="26"/>
        </w:rPr>
        <w:t xml:space="preserve">10.3 Conclusion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12"/>
              <w:bottom w:val="single" w:color="1B365D" w:sz="2"/>
              <w:right w:val="single" w:color="1B365D" w:sz="2"/>
            </w:tcBorders>
            <w:shd w:fill="E8F4FC" w:val="clear"/>
            <w:tcMar>
              <w:top w:type="dxa" w:w="150"/>
              <w:left w:type="dxa" w:w="200"/>
              <w:bottom w:type="dxa" w:w="150"/>
              <w:right w:type="dxa" w:w="200"/>
            </w:tcMar>
          </w:tcPr>
          <w:p>
            <w:pPr>
              <w:spacing w:after="100"/>
            </w:pPr>
            <w:r>
              <w:rPr>
                <w:rFonts w:ascii="Arial" w:cs="Arial" w:eastAsia="Arial" w:hAnsi="Arial"/>
                <w:b/>
                <w:bCs/>
                <w:color w:val="1B365D"/>
                <w:sz w:val="24"/>
                <w:szCs w:val="24"/>
              </w:rPr>
              <w:t xml:space="preserve">INVESTMENT CONCLUSION</w:t>
            </w:r>
          </w:p>
          <w:p>
            <w:r>
              <w:rPr>
                <w:rFonts w:ascii="Arial" w:cs="Arial" w:eastAsia="Arial" w:hAnsi="Arial"/>
                <w:color w:val="333333"/>
                <w:sz w:val="22"/>
                <w:szCs w:val="22"/>
              </w:rPr>
              <w:t xml:space="preserve">YYAI presents a high-conviction, asymmetric opportunity for investors with appropriate risk tolerance. The combination of extreme discount to tangible asset value, SEC-verified catalyst pathway, institutional validation, and favorable risk/reward profile creates a compelling special situation. The March 10, 2026 StablecoinX vote serves as a definable catalyst with potential for significant repricing. Position sizing should reflect the speculative nature of the thesis and the concentrated/illiquid nature of the security.</w:t>
            </w:r>
          </w:p>
        </w:tc>
      </w:tr>
    </w:tbl>
    <w:p>
      <w:pP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Recommendation Factors</w:t>
            </w:r>
          </w:p>
        </w:tc>
        <w:tc>
          <w:tcPr>
            <w:tcW w:type="dxa" w:w="53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Assessment</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Time Horizon</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6-18 months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Risk Level</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High (speculative)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Conviction Level</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High (based on discount to cash)</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Catalyst Clarity</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High (March 10, 2026)</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Downside Protection</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Strong (cash floor)</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Upside Potential</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Significant (400%+ expected value)</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Suitable For</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Investors with high risk tolerance and ability to hold through volatility</w:t>
            </w:r>
          </w:p>
        </w:tc>
      </w:tr>
    </w:tbl>
    <w:p>
      <w:r>
        <w:br w:type="page"/>
      </w:r>
    </w:p>
    <w:p>
      <w:pPr>
        <w:pStyle w:val="Heading1"/>
        <w:spacing w:before="400" w:after="200"/>
      </w:pPr>
      <w:r>
        <w:rPr>
          <w:rFonts w:ascii="Arial" w:cs="Arial" w:eastAsia="Arial" w:hAnsi="Arial"/>
          <w:b/>
          <w:bCs/>
          <w:color w:val="1B365D"/>
          <w:sz w:val="32"/>
          <w:szCs w:val="32"/>
        </w:rPr>
        <w:t xml:space="preserve">Appendix A: Source Documents</w:t>
      </w:r>
    </w:p>
    <w:p>
      <w:pPr>
        <w:spacing w:after="200" w:line="276"/>
        <w:jc w:val="both"/>
      </w:pPr>
      <w:r>
        <w:rPr>
          <w:rFonts w:ascii="Arial" w:cs="Arial" w:eastAsia="Arial" w:hAnsi="Arial"/>
          <w:color w:val="333333"/>
          <w:sz w:val="22"/>
          <w:szCs w:val="22"/>
        </w:rPr>
        <w:t xml:space="preserve">All analysis in this report is based on publicly available SEC filings and company disclosures. The following documents were reviewed:</w:t>
      </w:r>
    </w:p>
    <w:p>
      <w:pPr>
        <w:pStyle w:val="Heading2"/>
        <w:spacing w:before="300" w:after="150"/>
      </w:pPr>
      <w:r>
        <w:rPr>
          <w:rFonts w:ascii="Arial" w:cs="Arial" w:eastAsia="Arial" w:hAnsi="Arial"/>
          <w:b/>
          <w:bCs/>
          <w:color w:val="1B365D"/>
          <w:sz w:val="26"/>
          <w:szCs w:val="26"/>
        </w:rPr>
        <w:t xml:space="preserve">A.1 YYAI SEC Filings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2500"/>
        <w:gridCol w:w="2960"/>
      </w:tblGrid>
      <w:tr>
        <w:tc>
          <w:tcPr>
            <w:tcW w:type="dxa" w:w="22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Filing</w:t>
            </w:r>
          </w:p>
        </w:tc>
        <w:tc>
          <w:tcPr>
            <w:tcW w:type="dxa" w:w="17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Date</w:t>
            </w:r>
          </w:p>
        </w:tc>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Accession Number</w:t>
            </w:r>
          </w:p>
        </w:tc>
        <w:tc>
          <w:tcPr>
            <w:tcW w:type="dxa" w:w="29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Key Information</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10-Q</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Dec 23, 2025</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0001493152-25-029123</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Q2 FY2026 financials, subsequent events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Prospectus Supplement</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Dec 18, 2025</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0001493152-25-028XXX</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15.38M share placement details</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8-K</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Oct 27, 2025</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Various</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Reverse split, acquisitions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10-K</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Aug 13, 2025</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Various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FY2025 annual report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8-K</w:t>
            </w:r>
          </w:p>
        </w:tc>
        <w:tc>
          <w:tcPr>
            <w:tcW w:type="dxa" w:w="17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Aug 2025</w:t>
            </w:r>
          </w:p>
        </w:tc>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Various</w:t>
            </w:r>
          </w:p>
        </w:tc>
        <w:tc>
          <w:tcPr>
            <w:tcW w:type="dxa" w:w="2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JuCoin JV announcement</w:t>
            </w:r>
          </w:p>
        </w:tc>
      </w:tr>
    </w:tbl>
    <w:p>
      <w:pPr>
        <w:spacing w:after="200"/>
      </w:pPr>
    </w:p>
    <w:p>
      <w:pPr>
        <w:pStyle w:val="Heading2"/>
        <w:spacing w:before="300" w:after="150"/>
      </w:pPr>
      <w:r>
        <w:rPr>
          <w:rFonts w:ascii="Arial" w:cs="Arial" w:eastAsia="Arial" w:hAnsi="Arial"/>
          <w:b/>
          <w:bCs/>
          <w:color w:val="1B365D"/>
          <w:sz w:val="26"/>
          <w:szCs w:val="26"/>
        </w:rPr>
        <w:t xml:space="preserve">A.2 StablecoinX SEC Filings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760"/>
      </w:tblGrid>
      <w:tr>
        <w:tc>
          <w:tcPr>
            <w:tcW w:type="dxa" w:w="2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Filing</w:t>
            </w:r>
          </w:p>
        </w:tc>
        <w:tc>
          <w:tcPr>
            <w:tcW w:type="dxa" w:w="18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Date</w:t>
            </w:r>
          </w:p>
        </w:tc>
        <w:tc>
          <w:tcPr>
            <w:tcW w:type="dxa" w:w="47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Key Information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14A (DEF 14A)</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Feb 18, 2026</w:t>
            </w:r>
          </w:p>
        </w:tc>
        <w:tc>
          <w:tcPr>
            <w:tcW w:type="dxa" w:w="4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Definitive proxy, Tarala biography, board composition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Form S-4/A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Feb 17, 2026</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Business combination prospectus, PIPE details, Ethena relationship</w:t>
            </w:r>
          </w:p>
        </w:tc>
      </w:tr>
    </w:tbl>
    <w:p>
      <w:pPr>
        <w:spacing w:after="200"/>
      </w:pPr>
    </w:p>
    <w:p>
      <w:pPr>
        <w:pStyle w:val="Heading2"/>
        <w:spacing w:before="300" w:after="150"/>
      </w:pPr>
      <w:r>
        <w:rPr>
          <w:rFonts w:ascii="Arial" w:cs="Arial" w:eastAsia="Arial" w:hAnsi="Arial"/>
          <w:b/>
          <w:bCs/>
          <w:color w:val="1B365D"/>
          <w:sz w:val="26"/>
          <w:szCs w:val="26"/>
        </w:rPr>
        <w:t xml:space="preserve">A.3 S-4 Annexes - Key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4860"/>
      </w:tblGrid>
      <w:tr>
        <w:tc>
          <w:tcPr>
            <w:tcW w:type="dxa" w:w="1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Annex</w:t>
            </w:r>
          </w:p>
        </w:tc>
        <w:tc>
          <w:tcPr>
            <w:tcW w:type="dxa" w:w="30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Document</w:t>
            </w:r>
          </w:p>
        </w:tc>
        <w:tc>
          <w:tcPr>
            <w:tcW w:type="dxa" w:w="4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Key Information</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H-2</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Token Purchase Agreement</w:t>
            </w:r>
          </w:p>
        </w:tc>
        <w:tc>
          <w:tcPr>
            <w:tcW w:type="dxa" w:w="4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914M ENA tokens at $0.29; 48-mo lock-up; Anchorage custody</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I</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A&amp;R Sponsor Support Agreement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Carnegie Park Capital confirmed as sponsor; Edward Chen signatory</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J</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Seller Support Agreement</w:t>
            </w:r>
          </w:p>
        </w:tc>
        <w:tc>
          <w:tcPr>
            <w:tcW w:type="dxa" w:w="4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Young Cho ownership; voting commitments</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K</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A&amp;R Registration Rights Agreement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Post-closing registration rights for shareholders</w:t>
            </w:r>
          </w:p>
        </w:tc>
      </w:tr>
      <w:tr>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L</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Lock-Up Agreement</w:t>
            </w:r>
          </w:p>
        </w:tc>
        <w:tc>
          <w:tcPr>
            <w:tcW w:type="dxa" w:w="4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6-month lock-up for insiders post-closing</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Annex M</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Fairness Opinion (Scalar LLC)</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$12.35/share implied value; $6.05M trust account</w:t>
            </w:r>
          </w:p>
        </w:tc>
      </w:tr>
    </w:tbl>
    <w:p>
      <w:pPr>
        <w:spacing w:after="200"/>
      </w:pPr>
    </w:p>
    <w:p>
      <w:pPr>
        <w:pStyle w:val="Heading2"/>
        <w:spacing w:before="300" w:after="150"/>
      </w:pPr>
      <w:r>
        <w:rPr>
          <w:rFonts w:ascii="Arial" w:cs="Arial" w:eastAsia="Arial" w:hAnsi="Arial"/>
          <w:b/>
          <w:bCs/>
          <w:color w:val="1B365D"/>
          <w:sz w:val="26"/>
          <w:szCs w:val="26"/>
        </w:rPr>
        <w:t xml:space="preserve">A.4 EDGAR Cross-Reference</w:t>
      </w:r>
    </w:p>
    <w:p>
      <w:pPr>
        <w:spacing w:after="200" w:line="276"/>
        <w:jc w:val="both"/>
      </w:pPr>
      <w:r>
        <w:rPr>
          <w:rFonts w:ascii="Arial" w:cs="Arial" w:eastAsia="Arial" w:hAnsi="Arial"/>
          <w:color w:val="333333"/>
          <w:sz w:val="22"/>
          <w:szCs w:val="22"/>
        </w:rPr>
        <w:t xml:space="preserve">The YYAI-StablecoinX connection can be verified through SEC EDGAR by:</w:t>
      </w:r>
    </w:p>
    <w:p>
      <w:pPr>
        <w:pStyle w:val="ListParagraph"/>
        <w:numPr>
          <w:ilvl w:val="0"/>
          <w:numId w:val="2"/>
        </w:numPr>
        <w:spacing w:after="100"/>
      </w:pPr>
      <w:r>
        <w:rPr>
          <w:rFonts w:ascii="Arial" w:cs="Arial" w:eastAsia="Arial" w:hAnsi="Arial"/>
          <w:sz w:val="22"/>
          <w:szCs w:val="22"/>
        </w:rPr>
        <w:t xml:space="preserve">Navigate to SEC EDGAR (www.sec.gov/cgi-bin/browse-edgar)</w:t>
      </w:r>
    </w:p>
    <w:p>
      <w:pPr>
        <w:pStyle w:val="ListParagraph"/>
        <w:numPr>
          <w:ilvl w:val="0"/>
          <w:numId w:val="2"/>
        </w:numPr>
        <w:spacing w:after="100"/>
      </w:pPr>
      <w:r>
        <w:rPr>
          <w:rFonts w:ascii="Arial" w:cs="Arial" w:eastAsia="Arial" w:hAnsi="Arial"/>
          <w:sz w:val="22"/>
          <w:szCs w:val="22"/>
        </w:rPr>
        <w:t xml:space="preserve">Search for "Thomas Tarala" in full-text search</w:t>
      </w:r>
    </w:p>
    <w:p>
      <w:pPr>
        <w:pStyle w:val="ListParagraph"/>
        <w:numPr>
          <w:ilvl w:val="0"/>
          <w:numId w:val="2"/>
        </w:numPr>
        <w:spacing w:after="100"/>
      </w:pPr>
      <w:r>
        <w:rPr>
          <w:rFonts w:ascii="Arial" w:cs="Arial" w:eastAsia="Arial" w:hAnsi="Arial"/>
          <w:sz w:val="22"/>
          <w:szCs w:val="22"/>
        </w:rPr>
        <w:t xml:space="preserve">Results will show filings for YYAI (CIK 0001674440), TLGY/StablecoinX, and CHAI</w:t>
      </w:r>
    </w:p>
    <w:p>
      <w:pPr>
        <w:pStyle w:val="ListParagraph"/>
        <w:numPr>
          <w:ilvl w:val="0"/>
          <w:numId w:val="2"/>
        </w:numPr>
        <w:spacing w:after="100"/>
      </w:pPr>
      <w:r>
        <w:rPr>
          <w:rFonts w:ascii="Arial" w:cs="Arial" w:eastAsia="Arial" w:hAnsi="Arial"/>
          <w:sz w:val="22"/>
          <w:szCs w:val="22"/>
        </w:rPr>
        <w:t xml:space="preserve">Review StablecoinX Schedule 14A pages 247-248 for explicit Tarala-YYAI disclosure</w:t>
      </w:r>
    </w:p>
    <w:p>
      <w:r>
        <w:br w:type="page"/>
      </w:r>
    </w:p>
    <w:p>
      <w:pPr>
        <w:pStyle w:val="Heading1"/>
        <w:spacing w:before="400" w:after="200"/>
      </w:pPr>
      <w:r>
        <w:rPr>
          <w:rFonts w:ascii="Arial" w:cs="Arial" w:eastAsia="Arial" w:hAnsi="Arial"/>
          <w:b/>
          <w:bCs/>
          <w:color w:val="1B365D"/>
          <w:sz w:val="32"/>
          <w:szCs w:val="32"/>
        </w:rPr>
        <w:t xml:space="preserve">Appendix B: Glossary of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Term</w:t>
            </w:r>
          </w:p>
        </w:tc>
        <w:tc>
          <w:tcPr>
            <w:tcW w:type="dxa" w:w="6860"/>
            <w:tcBorders>
              <w:top w:val="single" w:color="CCCCCC" w:sz="1"/>
              <w:left w:val="single" w:color="CCCCCC" w:sz="1"/>
              <w:bottom w:val="single" w:color="CCCCCC" w:sz="1"/>
              <w:right w:val="single" w:color="CCCCCC" w:sz="1"/>
            </w:tcBorders>
            <w:shd w:fill="1B365D" w:val="clear"/>
            <w:tcMar>
              <w:top w:type="dxa" w:w="80"/>
              <w:left w:type="dxa" w:w="120"/>
              <w:bottom w:type="dxa" w:w="80"/>
              <w:right w:type="dxa" w:w="120"/>
            </w:tcMar>
          </w:tcPr>
          <w:p>
            <w:pPr>
              <w:jc w:val="right"/>
            </w:pPr>
            <w:r>
              <w:rPr>
                <w:rFonts w:ascii="Arial" w:cs="Arial" w:eastAsia="Arial" w:hAnsi="Arial"/>
                <w:b/>
                <w:bCs/>
                <w:color w:val="FFFFFF"/>
                <w:sz w:val="20"/>
                <w:szCs w:val="20"/>
              </w:rPr>
              <w:t xml:space="preserve">Definition</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ATM Facility</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At-The-Market offering program allowing companies to sell shares directly into the market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ENA</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Ethena governance token; StablecoinX will hold 3.03 billion tokens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Ethena Protocol</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Decentralized finance protocol; issuer of USDe stablecoin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PIPE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Private Investment in Public Equity; institutional capital commitment</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Registered Direct</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Offering of registered securities directly to investors without underwriting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RWA</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Real World Assets; tokenization of traditional financial instruments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13D</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SEC filing required within 10 days of acquiring &gt;5% with activist intent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13G</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SEC filing for passive &gt;5% beneficial ownership</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Schedule 14A</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Definitive proxy statement for shareholder vote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SPAC</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Special Purpose Acquisition Company; blank check company for merger</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StablecoinX</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SPAC (formerly TLGY) merging with SC Assets for Ethena infrastructure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Synthetic Short</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Short exposure created through derivatives rather than borrowed shares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Token Purchase Agreement</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Contract governing ENA token sale to PIPE investors at $0.29/token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USDe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Ethena's stablecoin; third largest by market capitalization</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YYEM</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Yuanyu Enterprise Management Co., Limited; YYAI's Hong Kong subsidiary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Anchorage Digital Bank N.A.</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Federally chartered digital asset bank; custodian for ENA tokens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Carnegie Park Capital</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Investment firm led by Edward Chen; SPAC sponsor for StablecoinX (TLGY)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Restricted Period</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48-month contractual lock-up period for ENA tokens under Token Purchase Agreement</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Scalar LLC</w:t>
            </w:r>
          </w:p>
        </w:tc>
        <w:tc>
          <w:tcPr>
            <w:tcW w:type="dxa" w:w="6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rFonts w:ascii="Arial" w:cs="Arial" w:eastAsia="Arial" w:hAnsi="Arial"/>
                <w:b w:val="false"/>
                <w:bCs w:val="false"/>
                <w:color w:val="333333"/>
                <w:sz w:val="20"/>
                <w:szCs w:val="20"/>
              </w:rPr>
              <w:t xml:space="preserve">Independent financial advisor providing fairness opinion for StablecoinX transaction</w:t>
            </w:r>
          </w:p>
        </w:tc>
      </w:tr>
    </w:tbl>
    <w:p>
      <w:r>
        <w:br w:type="page"/>
      </w:r>
    </w:p>
    <w:p>
      <w:pPr>
        <w:pStyle w:val="Heading1"/>
        <w:spacing w:before="400" w:after="200"/>
      </w:pPr>
      <w:r>
        <w:rPr>
          <w:rFonts w:ascii="Arial" w:cs="Arial" w:eastAsia="Arial" w:hAnsi="Arial"/>
          <w:b/>
          <w:bCs/>
          <w:color w:val="1B365D"/>
          <w:sz w:val="32"/>
          <w:szCs w:val="32"/>
        </w:rPr>
        <w:t xml:space="preserve">Appendix C: Key Calculations</w:t>
      </w:r>
    </w:p>
    <w:p>
      <w:pPr>
        <w:pStyle w:val="Heading2"/>
        <w:spacing w:before="300" w:after="150"/>
      </w:pPr>
      <w:r>
        <w:rPr>
          <w:rFonts w:ascii="Arial" w:cs="Arial" w:eastAsia="Arial" w:hAnsi="Arial"/>
          <w:b/>
          <w:bCs/>
          <w:color w:val="1B365D"/>
          <w:sz w:val="26"/>
          <w:szCs w:val="26"/>
        </w:rPr>
        <w:t xml:space="preserve">C.1 Cash Per Share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Courier New" w:cs="Courier New" w:eastAsia="Courier New" w:hAnsi="Courier New"/>
                <w:sz w:val="20"/>
                <w:szCs w:val="20"/>
              </w:rPr>
              <w:t xml:space="preserve">Cash and Cash Equivalents: $132,000,000</w:t>
            </w:r>
          </w:p>
          <w:p>
            <w:r>
              <w:rPr>
                <w:rFonts w:ascii="Courier New" w:cs="Courier New" w:eastAsia="Courier New" w:hAnsi="Courier New"/>
                <w:sz w:val="20"/>
                <w:szCs w:val="20"/>
              </w:rPr>
              <w:t xml:space="preserve">Shares Outstanding (Oct 31, 2025): ~38,000,000</w:t>
            </w:r>
          </w:p>
          <w:p>
            <w:r>
              <w:rPr>
                <w:rFonts w:ascii="Courier New" w:cs="Courier New" w:eastAsia="Courier New" w:hAnsi="Courier New"/>
                <w:sz w:val="20"/>
                <w:szCs w:val="20"/>
              </w:rPr>
              <w:t xml:space="preserve">Cash Per Share: $132,000,000 / 38,000,000 = $3.47</w:t>
            </w:r>
          </w:p>
        </w:tc>
      </w:tr>
    </w:tbl>
    <w:p>
      <w:pPr>
        <w:spacing w:after="200"/>
      </w:pPr>
    </w:p>
    <w:p>
      <w:pPr>
        <w:pStyle w:val="Heading2"/>
        <w:spacing w:before="300" w:after="150"/>
      </w:pPr>
      <w:r>
        <w:rPr>
          <w:rFonts w:ascii="Arial" w:cs="Arial" w:eastAsia="Arial" w:hAnsi="Arial"/>
          <w:b/>
          <w:bCs/>
          <w:color w:val="1B365D"/>
          <w:sz w:val="26"/>
          <w:szCs w:val="26"/>
        </w:rPr>
        <w:t xml:space="preserve">C.2 Discount to Cash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Courier New" w:cs="Courier New" w:eastAsia="Courier New" w:hAnsi="Courier New"/>
                <w:sz w:val="20"/>
                <w:szCs w:val="20"/>
              </w:rPr>
              <w:t xml:space="preserve">Current Price: $1.08</w:t>
            </w:r>
          </w:p>
          <w:p>
            <w:r>
              <w:rPr>
                <w:rFonts w:ascii="Courier New" w:cs="Courier New" w:eastAsia="Courier New" w:hAnsi="Courier New"/>
                <w:sz w:val="20"/>
                <w:szCs w:val="20"/>
              </w:rPr>
              <w:t xml:space="preserve">Cash Per Share: $3.47</w:t>
            </w:r>
          </w:p>
          <w:p>
            <w:r>
              <w:rPr>
                <w:rFonts w:ascii="Courier New" w:cs="Courier New" w:eastAsia="Courier New" w:hAnsi="Courier New"/>
                <w:sz w:val="20"/>
                <w:szCs w:val="20"/>
              </w:rPr>
              <w:t xml:space="preserve">Discount: 1 - ($1.08 / $3.47) = 68.9%</w:t>
            </w:r>
          </w:p>
        </w:tc>
      </w:tr>
    </w:tbl>
    <w:p>
      <w:pPr>
        <w:spacing w:after="200"/>
      </w:pPr>
    </w:p>
    <w:p>
      <w:pPr>
        <w:pStyle w:val="Heading2"/>
        <w:spacing w:before="300" w:after="150"/>
      </w:pPr>
      <w:r>
        <w:rPr>
          <w:rFonts w:ascii="Arial" w:cs="Arial" w:eastAsia="Arial" w:hAnsi="Arial"/>
          <w:b/>
          <w:bCs/>
          <w:color w:val="1B365D"/>
          <w:sz w:val="26"/>
          <w:szCs w:val="26"/>
        </w:rPr>
        <w:t xml:space="preserve">C.3 Expected Value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Courier New" w:cs="Courier New" w:eastAsia="Courier New" w:hAnsi="Courier New"/>
                <w:sz w:val="20"/>
                <w:szCs w:val="20"/>
              </w:rPr>
              <w:t xml:space="preserve">Scenario 1 (No Integration): 25% × $2.75 = $0.69</w:t>
            </w:r>
          </w:p>
          <w:p>
            <w:r>
              <w:rPr>
                <w:rFonts w:ascii="Courier New" w:cs="Courier New" w:eastAsia="Courier New" w:hAnsi="Courier New"/>
                <w:sz w:val="20"/>
                <w:szCs w:val="20"/>
              </w:rPr>
              <w:t xml:space="preserve">Scenario 2 (JuCoin Lists): 40% × $4.50 = $1.80</w:t>
            </w:r>
          </w:p>
          <w:p>
            <w:r>
              <w:rPr>
                <w:rFonts w:ascii="Courier New" w:cs="Courier New" w:eastAsia="Courier New" w:hAnsi="Courier New"/>
                <w:sz w:val="20"/>
                <w:szCs w:val="20"/>
              </w:rPr>
              <w:t xml:space="preserve">Scenario 3 (JuCoin + Investment): 20% × $7.00 = $1.40</w:t>
            </w:r>
          </w:p>
          <w:p>
            <w:r>
              <w:rPr>
                <w:rFonts w:ascii="Courier New" w:cs="Courier New" w:eastAsia="Courier New" w:hAnsi="Courier New"/>
                <w:sz w:val="20"/>
                <w:szCs w:val="20"/>
              </w:rPr>
              <w:t xml:space="preserve">Scenario 4 (Full Integration): 10% × $12.50 = $1.25</w:t>
            </w:r>
          </w:p>
          <w:p>
            <w:r>
              <w:rPr>
                <w:rFonts w:ascii="Courier New" w:cs="Courier New" w:eastAsia="Courier New" w:hAnsi="Courier New"/>
                <w:sz w:val="20"/>
                <w:szCs w:val="20"/>
              </w:rPr>
              <w:t xml:space="preserve">Scenario 5 (Short Squeeze): 5% × $20.00 = $1.00</w:t>
            </w:r>
          </w:p>
          <w:p>
            <w:r>
              <w:rPr>
                <w:rFonts w:ascii="Courier New" w:cs="Courier New" w:eastAsia="Courier New" w:hAnsi="Courier New"/>
                <w:sz w:val="20"/>
                <w:szCs w:val="20"/>
              </w:rPr>
              <w:t xml:space="preserve">─────────────────────────────────────────────</w:t>
            </w:r>
          </w:p>
          <w:p>
            <w:r>
              <w:rPr>
                <w:rFonts w:ascii="Courier New" w:cs="Courier New" w:eastAsia="Courier New" w:hAnsi="Courier New"/>
                <w:b/>
                <w:bCs/>
                <w:sz w:val="20"/>
                <w:szCs w:val="20"/>
              </w:rPr>
              <w:t xml:space="preserve">Expected Value: $0.69 + $1.80 + $1.40 + $1.25 + $1.00 = $6.14</w:t>
            </w:r>
          </w:p>
          <w:p>
            <w:r>
              <w:rPr>
                <w:rFonts w:ascii="Courier New" w:cs="Courier New" w:eastAsia="Courier New" w:hAnsi="Courier New"/>
                <w:b/>
                <w:bCs/>
                <w:sz w:val="20"/>
                <w:szCs w:val="20"/>
              </w:rPr>
              <w:t xml:space="preserve">Expected Return: ($6.14 - $1.08) / $1.08 = 469%</w:t>
            </w:r>
          </w:p>
        </w:tc>
      </w:tr>
    </w:tbl>
    <w:p>
      <w:pPr>
        <w:spacing w:after="200"/>
      </w:pPr>
    </w:p>
    <w:p>
      <w:pPr>
        <w:pStyle w:val="Heading2"/>
        <w:spacing w:before="300" w:after="150"/>
      </w:pPr>
      <w:r>
        <w:rPr>
          <w:rFonts w:ascii="Arial" w:cs="Arial" w:eastAsia="Arial" w:hAnsi="Arial"/>
          <w:b/>
          <w:bCs/>
          <w:color w:val="1B365D"/>
          <w:sz w:val="26"/>
          <w:szCs w:val="26"/>
        </w:rPr>
        <w:t xml:space="preserve">C.4 ENA Token Economics (from Token Purchase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Courier New" w:cs="Courier New" w:eastAsia="Courier New" w:hAnsi="Courier New"/>
                <w:b/>
                <w:bCs/>
                <w:sz w:val="20"/>
                <w:szCs w:val="20"/>
              </w:rPr>
              <w:t xml:space="preserve">PIPE Token Purchase:</w:t>
            </w:r>
          </w:p>
          <w:p>
            <w:r>
              <w:rPr>
                <w:rFonts w:ascii="Courier New" w:cs="Courier New" w:eastAsia="Courier New" w:hAnsi="Courier New"/>
                <w:sz w:val="20"/>
                <w:szCs w:val="20"/>
              </w:rPr>
              <w:t xml:space="preserve">ENA Tokens Purchased: 914,341,825.83</w:t>
            </w:r>
          </w:p>
          <w:p>
            <w:r>
              <w:rPr>
                <w:rFonts w:ascii="Courier New" w:cs="Courier New" w:eastAsia="Courier New" w:hAnsi="Courier New"/>
                <w:sz w:val="20"/>
                <w:szCs w:val="20"/>
              </w:rPr>
              <w:t xml:space="preserve">Total Consideration: $265,159,129.49</w:t>
            </w:r>
          </w:p>
          <w:p>
            <w:r>
              <w:rPr>
                <w:rFonts w:ascii="Courier New" w:cs="Courier New" w:eastAsia="Courier New" w:hAnsi="Courier New"/>
                <w:sz w:val="20"/>
                <w:szCs w:val="20"/>
              </w:rPr>
              <w:t xml:space="preserve">Price Per Token: $265,159,129.49 / 914,341,825.83 = $0.29</w:t>
            </w:r>
          </w:p>
          <w:p>
            <w:r>
              <w:rPr>
                <w:rFonts w:ascii="Courier New" w:cs="Courier New" w:eastAsia="Courier New" w:hAnsi="Courier New"/>
                <w:sz w:val="20"/>
                <w:szCs w:val="20"/>
              </w:rPr>
              <w:t xml:space="preserve"/>
            </w:r>
          </w:p>
          <w:p>
            <w:r>
              <w:rPr>
                <w:rFonts w:ascii="Courier New" w:cs="Courier New" w:eastAsia="Courier New" w:hAnsi="Courier New"/>
                <w:b/>
                <w:bCs/>
                <w:sz w:val="20"/>
                <w:szCs w:val="20"/>
              </w:rPr>
              <w:t xml:space="preserve">Lock-Up Economics:</w:t>
            </w:r>
          </w:p>
          <w:p>
            <w:r>
              <w:rPr>
                <w:rFonts w:ascii="Courier New" w:cs="Courier New" w:eastAsia="Courier New" w:hAnsi="Courier New"/>
                <w:sz w:val="20"/>
                <w:szCs w:val="20"/>
              </w:rPr>
              <w:t xml:space="preserve">Year 1 Unlock (25%): 228,585,456.46 tokens</w:t>
            </w:r>
          </w:p>
          <w:p>
            <w:r>
              <w:rPr>
                <w:rFonts w:ascii="Courier New" w:cs="Courier New" w:eastAsia="Courier New" w:hAnsi="Courier New"/>
                <w:sz w:val="20"/>
                <w:szCs w:val="20"/>
              </w:rPr>
              <w:t xml:space="preserve">Years 2-4 Monthly Unlock: 19,048,788.04 tokens/month</w:t>
            </w:r>
          </w:p>
          <w:p>
            <w:r>
              <w:rPr>
                <w:rFonts w:ascii="Courier New" w:cs="Courier New" w:eastAsia="Courier New" w:hAnsi="Courier New"/>
                <w:sz w:val="20"/>
                <w:szCs w:val="20"/>
              </w:rPr>
              <w:t xml:space="preserve"/>
            </w:r>
          </w:p>
          <w:p>
            <w:r>
              <w:rPr>
                <w:rFonts w:ascii="Courier New" w:cs="Courier New" w:eastAsia="Courier New" w:hAnsi="Courier New"/>
                <w:b/>
                <w:bCs/>
                <w:sz w:val="20"/>
                <w:szCs w:val="20"/>
              </w:rPr>
              <w:t xml:space="preserve">Potential Value Scenarios (at full unlock):</w:t>
            </w:r>
          </w:p>
          <w:p>
            <w:r>
              <w:rPr>
                <w:rFonts w:ascii="Courier New" w:cs="Courier New" w:eastAsia="Courier New" w:hAnsi="Courier New"/>
                <w:sz w:val="20"/>
                <w:szCs w:val="20"/>
              </w:rPr>
              <w:t xml:space="preserve">If ENA = $0.50: 914M × $0.50 = $457M (72% gain)</w:t>
            </w:r>
          </w:p>
          <w:p>
            <w:r>
              <w:rPr>
                <w:rFonts w:ascii="Courier New" w:cs="Courier New" w:eastAsia="Courier New" w:hAnsi="Courier New"/>
                <w:sz w:val="20"/>
                <w:szCs w:val="20"/>
              </w:rPr>
              <w:t xml:space="preserve">If ENA = $1.00: 914M × $1.00 = $914M (245% gain)</w:t>
            </w:r>
          </w:p>
          <w:p>
            <w:r>
              <w:rPr>
                <w:rFonts w:ascii="Courier New" w:cs="Courier New" w:eastAsia="Courier New" w:hAnsi="Courier New"/>
                <w:sz w:val="20"/>
                <w:szCs w:val="20"/>
              </w:rPr>
              <w:t xml:space="preserve">If ENA = $2.00: 914M × $2.00 = $1.83B (590% gain)</w:t>
            </w:r>
          </w:p>
        </w:tc>
      </w:tr>
    </w:tbl>
    <w:p>
      <w:pPr>
        <w:spacing w:after="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65D" w:sz="2"/>
              <w:left w:val="single" w:color="1B365D" w:sz="2"/>
              <w:bottom w:val="single" w:color="1B365D" w:sz="2"/>
              <w:right w:val="single" w:color="1B365D" w:sz="2"/>
            </w:tcBorders>
            <w:shd w:fill="E8F4FC" w:val="clear"/>
            <w:tcMar>
              <w:top w:type="dxa" w:w="150"/>
              <w:left w:type="dxa" w:w="200"/>
              <w:bottom w:type="dxa" w:w="150"/>
              <w:right w:type="dxa" w:w="200"/>
            </w:tcMar>
          </w:tcPr>
          <w:p>
            <w:pPr>
              <w:spacing w:after="100"/>
              <w:jc w:val="center"/>
            </w:pPr>
            <w:r>
              <w:rPr>
                <w:rFonts w:ascii="Arial" w:cs="Arial" w:eastAsia="Arial" w:hAnsi="Arial"/>
                <w:b/>
                <w:bCs/>
                <w:color w:val="1B365D"/>
                <w:sz w:val="24"/>
                <w:szCs w:val="24"/>
              </w:rPr>
              <w:t xml:space="preserve">END OF REPORT</w:t>
            </w:r>
          </w:p>
          <w:p>
            <w:pPr>
              <w:jc w:val="center"/>
            </w:pPr>
            <w:r>
              <w:rPr>
                <w:rFonts w:ascii="Arial" w:cs="Arial" w:eastAsia="Arial" w:hAnsi="Arial"/>
                <w:i/>
                <w:iCs/>
                <w:color w:val="666666"/>
                <w:sz w:val="18"/>
                <w:szCs w:val="18"/>
              </w:rPr>
              <w:t xml:space="preserve">This document is based entirely on publicly available information from SEC EDGAR filings. All projections and scenarios are analytical estimates and should not be construed as guarantees of future performance. Investors should conduct independent due diligence before making investment decisions.</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65D" w:sz="6"/>
      </w:pBdr>
      <w:spacing w:before="200"/>
      <w:jc w:val="center"/>
    </w:pPr>
    <w:r>
      <w:rPr>
        <w:rFonts w:ascii="Arial" w:cs="Arial" w:eastAsia="Arial" w:hAnsi="Arial"/>
        <w:color w:val="666666"/>
        <w:sz w:val="18"/>
        <w:szCs w:val="18"/>
      </w:rPr>
      <w:t xml:space="preserve">CONFIDENTIAL  |  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65D" w:sz="6"/>
      </w:pBdr>
      <w:spacing w:after="200"/>
      <w:jc w:val="right"/>
    </w:pPr>
    <w:r>
      <w:rPr>
        <w:rFonts w:ascii="Arial" w:cs="Arial" w:eastAsia="Arial" w:hAnsi="Arial"/>
        <w:color w:val="666666"/>
        <w:sz w:val="18"/>
        <w:szCs w:val="18"/>
      </w:rPr>
      <w:t xml:space="preserve">YYAI Investment Research  |  </w:t>
    </w:r>
    <w:r>
      <w:rPr>
        <w:rFonts w:ascii="Arial" w:cs="Arial" w:eastAsia="Arial" w:hAnsi="Arial"/>
        <w:color w:val="666666"/>
        <w:sz w:val="18"/>
        <w:szCs w:val="18"/>
      </w:rPr>
      <w:t xml:space="preserve">February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365D"/>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1B365D"/>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2026-02-18T16:39:32.177Z</dcterms:created>
  <dcterms:modified xsi:type="dcterms:W3CDTF">2026-02-18T16:39:32.178Z</dcterms:modified>
</cp:coreProperties>
</file>

<file path=docProps/custom.xml><?xml version="1.0" encoding="utf-8"?>
<Properties xmlns="http://schemas.openxmlformats.org/officeDocument/2006/custom-properties" xmlns:vt="http://schemas.openxmlformats.org/officeDocument/2006/docPropsVTypes"/>
</file>